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BD51A">
      <w:pPr>
        <w:ind w:left="426" w:right="-17"/>
        <w:jc w:val="center"/>
        <w:rPr>
          <w:rFonts w:ascii="Arial" w:hAnsi="Arial" w:cs="Arial"/>
          <w:b/>
        </w:rPr>
      </w:pPr>
      <w:bookmarkStart w:id="0" w:name="_Hlk142658039"/>
      <w:r>
        <w:rPr>
          <w:rFonts w:ascii="Arial" w:hAnsi="Arial" w:cs="Arial"/>
          <w:b/>
        </w:rPr>
        <w:t>ANEXO VII</w:t>
      </w:r>
    </w:p>
    <w:p w14:paraId="2AEE9A02">
      <w:pPr>
        <w:ind w:left="426" w:right="-17"/>
        <w:jc w:val="center"/>
        <w:rPr>
          <w:rFonts w:ascii="Arial" w:hAnsi="Arial" w:cs="Arial"/>
          <w:b/>
        </w:rPr>
      </w:pPr>
    </w:p>
    <w:p w14:paraId="7FC32D1F">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79B5D758">
      <w:pPr>
        <w:ind w:left="426" w:right="-17"/>
        <w:jc w:val="center"/>
        <w:rPr>
          <w:rFonts w:ascii="Arial" w:hAnsi="Arial" w:cs="Arial"/>
          <w:b/>
        </w:rPr>
      </w:pPr>
    </w:p>
    <w:p w14:paraId="2940018E">
      <w:pPr>
        <w:ind w:left="4253" w:right="-17"/>
        <w:jc w:val="both"/>
        <w:rPr>
          <w:rFonts w:ascii="Arial" w:hAnsi="Arial" w:cs="Arial"/>
          <w:b/>
        </w:rPr>
      </w:pPr>
    </w:p>
    <w:p w14:paraId="2B216473">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795D8C6A">
      <w:pPr>
        <w:spacing w:line="276" w:lineRule="auto"/>
        <w:ind w:left="5103" w:right="-17"/>
        <w:jc w:val="both"/>
        <w:rPr>
          <w:rFonts w:ascii="Arial" w:hAnsi="Arial" w:cs="Arial"/>
          <w:b/>
        </w:rPr>
      </w:pPr>
    </w:p>
    <w:bookmarkEnd w:id="1"/>
    <w:p w14:paraId="32A60E22">
      <w:pPr>
        <w:pStyle w:val="14"/>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w:t>
      </w:r>
      <w:bookmarkStart w:id="4" w:name="_GoBack"/>
      <w:bookmarkEnd w:id="4"/>
      <w:r>
        <w:rPr>
          <w:rFonts w:ascii="Arial" w:hAnsi="Arial" w:cs="Arial"/>
          <w:sz w:val="22"/>
          <w:szCs w:val="22"/>
        </w:rPr>
        <w:t>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Processo Administrativo</w:t>
      </w:r>
      <w:r>
        <w:rPr>
          <w:rFonts w:ascii="Arial" w:hAnsi="Arial" w:cs="Arial"/>
          <w:b/>
          <w:bCs/>
          <w:sz w:val="22"/>
          <w:szCs w:val="22"/>
          <w:highlight w:val="none"/>
        </w:rPr>
        <w:t xml:space="preserve"> nº </w:t>
      </w:r>
      <w:r>
        <w:rPr>
          <w:rFonts w:hint="default" w:ascii="Arial" w:hAnsi="Arial" w:cs="Arial"/>
          <w:b/>
          <w:bCs/>
          <w:sz w:val="22"/>
          <w:szCs w:val="22"/>
          <w:highlight w:val="none"/>
          <w:lang w:val="pt-BR"/>
        </w:rPr>
        <w:t>1.523/2026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w:t>
      </w:r>
      <w:r>
        <w:rPr>
          <w:rFonts w:ascii="Arial" w:hAnsi="Arial" w:cs="Arial"/>
          <w:sz w:val="22"/>
          <w:szCs w:val="22"/>
          <w:highlight w:val="none"/>
        </w:rPr>
        <w:t xml:space="preserv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39/2026</w:t>
      </w:r>
      <w:r>
        <w:rPr>
          <w:rFonts w:ascii="Arial" w:hAnsi="Arial" w:cs="Arial"/>
          <w:sz w:val="22"/>
          <w:szCs w:val="22"/>
          <w:highlight w:val="none"/>
        </w:rPr>
        <w:t>, med</w:t>
      </w:r>
      <w:r>
        <w:rPr>
          <w:rFonts w:ascii="Arial" w:hAnsi="Arial" w:cs="Arial"/>
          <w:sz w:val="22"/>
          <w:szCs w:val="22"/>
        </w:rPr>
        <w:t>iante as cláusulas e condições a seguir enunciadas.</w:t>
      </w:r>
    </w:p>
    <w:p w14:paraId="2A1D56B2">
      <w:pPr>
        <w:pStyle w:val="20"/>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66E18C9">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pt-BR" w:eastAsia="pt-BR"/>
        </w:rPr>
        <w:t xml:space="preserve"> aquisição de sondas, tubos e drenos, visando suprir as necessidades da Secretaria Municipal de Saúde,</w:t>
      </w:r>
      <w:r>
        <w:rPr>
          <w:rFonts w:ascii="Arial" w:hAnsi="Arial" w:cs="Arial"/>
          <w:bCs/>
          <w:iCs/>
        </w:rPr>
        <w:t xml:space="preserve"> nas condições estabelecidas no Termo de Referência – Anexo I do edital.</w:t>
      </w:r>
    </w:p>
    <w:p w14:paraId="0715C2A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0C58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4C852A4E">
            <w:pPr>
              <w:pStyle w:val="20"/>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50D3D237">
            <w:pPr>
              <w:pStyle w:val="20"/>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138AF579">
            <w:pPr>
              <w:pStyle w:val="20"/>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5F2F0EEF">
            <w:pPr>
              <w:pStyle w:val="20"/>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7EDBDF68">
            <w:pPr>
              <w:pStyle w:val="20"/>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F67727E">
            <w:pPr>
              <w:pStyle w:val="20"/>
              <w:ind w:left="0"/>
              <w:jc w:val="center"/>
              <w:rPr>
                <w:rFonts w:ascii="Arial" w:hAnsi="Arial" w:cs="Arial"/>
                <w:b/>
              </w:rPr>
            </w:pPr>
            <w:r>
              <w:rPr>
                <w:rFonts w:ascii="Arial" w:hAnsi="Arial" w:cs="Arial"/>
                <w:b/>
              </w:rPr>
              <w:t>VALOR</w:t>
            </w:r>
          </w:p>
        </w:tc>
      </w:tr>
      <w:tr w14:paraId="7C89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10022A38">
            <w:pPr>
              <w:rPr>
                <w:rFonts w:ascii="Arial" w:hAnsi="Arial" w:cs="Arial"/>
              </w:rPr>
            </w:pPr>
          </w:p>
        </w:tc>
        <w:tc>
          <w:tcPr>
            <w:tcW w:w="606" w:type="pct"/>
            <w:vMerge w:val="continue"/>
            <w:shd w:val="clear" w:color="auto" w:fill="D8D8D8"/>
          </w:tcPr>
          <w:p w14:paraId="5930462C">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5041CE5">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698E2E88">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C9FC331">
            <w:pPr>
              <w:rPr>
                <w:rFonts w:ascii="Arial" w:hAnsi="Arial" w:cs="Arial"/>
              </w:rPr>
            </w:pPr>
          </w:p>
        </w:tc>
        <w:tc>
          <w:tcPr>
            <w:tcW w:w="839" w:type="pct"/>
            <w:shd w:val="clear" w:color="auto" w:fill="D8D8D8"/>
            <w:tcMar>
              <w:top w:w="0" w:type="dxa"/>
              <w:left w:w="108" w:type="dxa"/>
              <w:bottom w:w="0" w:type="dxa"/>
              <w:right w:w="108" w:type="dxa"/>
            </w:tcMar>
            <w:vAlign w:val="center"/>
          </w:tcPr>
          <w:p w14:paraId="04516A7A">
            <w:pPr>
              <w:pStyle w:val="20"/>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062E3A7E">
            <w:pPr>
              <w:pStyle w:val="20"/>
              <w:ind w:left="0"/>
              <w:jc w:val="center"/>
              <w:rPr>
                <w:rFonts w:ascii="Arial" w:hAnsi="Arial" w:cs="Arial"/>
                <w:b/>
              </w:rPr>
            </w:pPr>
            <w:r>
              <w:rPr>
                <w:rFonts w:ascii="Arial" w:hAnsi="Arial" w:cs="Arial"/>
                <w:b/>
              </w:rPr>
              <w:t>TOTAL</w:t>
            </w:r>
          </w:p>
        </w:tc>
      </w:tr>
      <w:tr w14:paraId="4236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F17D0DA">
            <w:pPr>
              <w:pStyle w:val="39"/>
              <w:jc w:val="center"/>
              <w:rPr>
                <w:rFonts w:ascii="Arial" w:hAnsi="Arial" w:cs="Arial"/>
                <w:b/>
              </w:rPr>
            </w:pPr>
            <w:r>
              <w:rPr>
                <w:rFonts w:ascii="Arial" w:hAnsi="Arial" w:cs="Arial"/>
                <w:b/>
              </w:rPr>
              <w:t>1</w:t>
            </w:r>
          </w:p>
        </w:tc>
        <w:tc>
          <w:tcPr>
            <w:tcW w:w="606" w:type="pct"/>
          </w:tcPr>
          <w:p w14:paraId="755064F4">
            <w:pPr>
              <w:pStyle w:val="39"/>
              <w:jc w:val="both"/>
              <w:rPr>
                <w:rFonts w:ascii="Arial" w:hAnsi="Arial" w:cs="Arial"/>
              </w:rPr>
            </w:pPr>
          </w:p>
        </w:tc>
        <w:tc>
          <w:tcPr>
            <w:tcW w:w="1328" w:type="pct"/>
            <w:tcMar>
              <w:top w:w="0" w:type="dxa"/>
              <w:left w:w="108" w:type="dxa"/>
              <w:bottom w:w="0" w:type="dxa"/>
              <w:right w:w="108" w:type="dxa"/>
            </w:tcMar>
            <w:vAlign w:val="center"/>
          </w:tcPr>
          <w:p w14:paraId="3FA61295">
            <w:pPr>
              <w:pStyle w:val="39"/>
              <w:jc w:val="both"/>
              <w:rPr>
                <w:rFonts w:ascii="Arial" w:hAnsi="Arial" w:cs="Arial"/>
              </w:rPr>
            </w:pPr>
          </w:p>
        </w:tc>
        <w:tc>
          <w:tcPr>
            <w:tcW w:w="534" w:type="pct"/>
            <w:tcMar>
              <w:top w:w="0" w:type="dxa"/>
              <w:left w:w="108" w:type="dxa"/>
              <w:bottom w:w="0" w:type="dxa"/>
              <w:right w:w="108" w:type="dxa"/>
            </w:tcMar>
            <w:vAlign w:val="center"/>
          </w:tcPr>
          <w:p w14:paraId="6D0A16A4">
            <w:pPr>
              <w:pStyle w:val="39"/>
              <w:jc w:val="center"/>
              <w:rPr>
                <w:rFonts w:ascii="Arial" w:hAnsi="Arial" w:cs="Arial"/>
              </w:rPr>
            </w:pPr>
          </w:p>
        </w:tc>
        <w:tc>
          <w:tcPr>
            <w:tcW w:w="583" w:type="pct"/>
            <w:tcMar>
              <w:top w:w="0" w:type="dxa"/>
              <w:left w:w="108" w:type="dxa"/>
              <w:bottom w:w="0" w:type="dxa"/>
              <w:right w:w="108" w:type="dxa"/>
            </w:tcMar>
            <w:vAlign w:val="center"/>
          </w:tcPr>
          <w:p w14:paraId="41BE0965">
            <w:pPr>
              <w:pStyle w:val="39"/>
              <w:jc w:val="center"/>
              <w:rPr>
                <w:rFonts w:ascii="Arial" w:hAnsi="Arial" w:cs="Arial"/>
                <w:b/>
              </w:rPr>
            </w:pPr>
          </w:p>
        </w:tc>
        <w:tc>
          <w:tcPr>
            <w:tcW w:w="839" w:type="pct"/>
            <w:tcMar>
              <w:top w:w="0" w:type="dxa"/>
              <w:left w:w="108" w:type="dxa"/>
              <w:bottom w:w="0" w:type="dxa"/>
              <w:right w:w="108" w:type="dxa"/>
            </w:tcMar>
            <w:vAlign w:val="center"/>
          </w:tcPr>
          <w:p w14:paraId="5A41535B">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460E4DB8">
            <w:pPr>
              <w:pStyle w:val="39"/>
              <w:spacing w:after="0" w:line="240" w:lineRule="auto"/>
              <w:jc w:val="right"/>
              <w:rPr>
                <w:rFonts w:ascii="Arial" w:hAnsi="Arial" w:cs="Arial"/>
                <w:b/>
                <w:bCs/>
              </w:rPr>
            </w:pPr>
          </w:p>
        </w:tc>
      </w:tr>
      <w:tr w14:paraId="29EB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14408BE6">
            <w:pPr>
              <w:pStyle w:val="39"/>
              <w:jc w:val="center"/>
              <w:rPr>
                <w:rFonts w:ascii="Arial" w:hAnsi="Arial" w:cs="Arial"/>
                <w:b/>
              </w:rPr>
            </w:pPr>
            <w:r>
              <w:rPr>
                <w:rFonts w:ascii="Arial" w:hAnsi="Arial" w:cs="Arial"/>
                <w:b/>
              </w:rPr>
              <w:t>…</w:t>
            </w:r>
          </w:p>
        </w:tc>
        <w:tc>
          <w:tcPr>
            <w:tcW w:w="606" w:type="pct"/>
          </w:tcPr>
          <w:p w14:paraId="6EA36977">
            <w:pPr>
              <w:pStyle w:val="39"/>
              <w:jc w:val="both"/>
              <w:rPr>
                <w:rFonts w:ascii="Arial" w:hAnsi="Arial" w:cs="Arial"/>
              </w:rPr>
            </w:pPr>
          </w:p>
        </w:tc>
        <w:tc>
          <w:tcPr>
            <w:tcW w:w="1328" w:type="pct"/>
            <w:tcMar>
              <w:top w:w="0" w:type="dxa"/>
              <w:left w:w="108" w:type="dxa"/>
              <w:bottom w:w="0" w:type="dxa"/>
              <w:right w:w="108" w:type="dxa"/>
            </w:tcMar>
            <w:vAlign w:val="center"/>
          </w:tcPr>
          <w:p w14:paraId="321F56D6">
            <w:pPr>
              <w:pStyle w:val="39"/>
              <w:jc w:val="both"/>
              <w:rPr>
                <w:rFonts w:ascii="Arial" w:hAnsi="Arial" w:cs="Arial"/>
              </w:rPr>
            </w:pPr>
          </w:p>
        </w:tc>
        <w:tc>
          <w:tcPr>
            <w:tcW w:w="534" w:type="pct"/>
            <w:tcMar>
              <w:top w:w="0" w:type="dxa"/>
              <w:left w:w="108" w:type="dxa"/>
              <w:bottom w:w="0" w:type="dxa"/>
              <w:right w:w="108" w:type="dxa"/>
            </w:tcMar>
            <w:vAlign w:val="center"/>
          </w:tcPr>
          <w:p w14:paraId="6E830FBD">
            <w:pPr>
              <w:pStyle w:val="39"/>
              <w:jc w:val="center"/>
              <w:rPr>
                <w:rFonts w:ascii="Arial" w:hAnsi="Arial" w:cs="Arial"/>
              </w:rPr>
            </w:pPr>
          </w:p>
        </w:tc>
        <w:tc>
          <w:tcPr>
            <w:tcW w:w="583" w:type="pct"/>
            <w:tcMar>
              <w:top w:w="0" w:type="dxa"/>
              <w:left w:w="108" w:type="dxa"/>
              <w:bottom w:w="0" w:type="dxa"/>
              <w:right w:w="108" w:type="dxa"/>
            </w:tcMar>
            <w:vAlign w:val="center"/>
          </w:tcPr>
          <w:p w14:paraId="3DAD1ADE">
            <w:pPr>
              <w:pStyle w:val="39"/>
              <w:jc w:val="center"/>
              <w:rPr>
                <w:rFonts w:ascii="Arial" w:hAnsi="Arial" w:cs="Arial"/>
                <w:b/>
              </w:rPr>
            </w:pPr>
          </w:p>
        </w:tc>
        <w:tc>
          <w:tcPr>
            <w:tcW w:w="839" w:type="pct"/>
            <w:tcMar>
              <w:top w:w="0" w:type="dxa"/>
              <w:left w:w="108" w:type="dxa"/>
              <w:bottom w:w="0" w:type="dxa"/>
              <w:right w:w="108" w:type="dxa"/>
            </w:tcMar>
            <w:vAlign w:val="center"/>
          </w:tcPr>
          <w:p w14:paraId="34608983">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2706B326">
            <w:pPr>
              <w:pStyle w:val="39"/>
              <w:spacing w:after="0" w:line="240" w:lineRule="auto"/>
              <w:jc w:val="right"/>
              <w:rPr>
                <w:rFonts w:ascii="Arial" w:hAnsi="Arial" w:cs="Arial"/>
                <w:b/>
                <w:bCs/>
              </w:rPr>
            </w:pPr>
          </w:p>
        </w:tc>
      </w:tr>
    </w:tbl>
    <w:p w14:paraId="75B95CBE">
      <w:pPr>
        <w:pStyle w:val="20"/>
        <w:widowControl/>
        <w:tabs>
          <w:tab w:val="left" w:pos="426"/>
        </w:tabs>
        <w:autoSpaceDE/>
        <w:autoSpaceDN/>
        <w:spacing w:before="120" w:after="120" w:line="276" w:lineRule="auto"/>
        <w:ind w:left="0"/>
        <w:jc w:val="both"/>
        <w:rPr>
          <w:rFonts w:ascii="Arial" w:hAnsi="Arial" w:cs="Arial"/>
          <w:iCs/>
        </w:rPr>
      </w:pPr>
    </w:p>
    <w:p w14:paraId="1D690B27">
      <w:pPr>
        <w:pStyle w:val="20"/>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58E76628">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1DC97A42">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5F53D856">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1D454839">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61483EEF">
      <w:pPr>
        <w:pStyle w:val="20"/>
        <w:widowControl/>
        <w:tabs>
          <w:tab w:val="left" w:pos="426"/>
        </w:tabs>
        <w:autoSpaceDE/>
        <w:autoSpaceDN/>
        <w:spacing w:before="120" w:after="120" w:line="276" w:lineRule="auto"/>
        <w:ind w:left="862"/>
        <w:jc w:val="both"/>
        <w:rPr>
          <w:rFonts w:ascii="Arial" w:hAnsi="Arial" w:cs="Arial"/>
          <w:bCs/>
        </w:rPr>
      </w:pPr>
    </w:p>
    <w:p w14:paraId="4A448DC8">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AADC673">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2F5920A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3B7B8C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21C433A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496FC238">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22EECED3">
      <w:pPr>
        <w:pStyle w:val="20"/>
        <w:widowControl/>
        <w:tabs>
          <w:tab w:val="left" w:pos="426"/>
        </w:tabs>
        <w:autoSpaceDE/>
        <w:autoSpaceDN/>
        <w:spacing w:before="120" w:after="120" w:line="276" w:lineRule="auto"/>
        <w:ind w:left="0"/>
        <w:jc w:val="both"/>
        <w:rPr>
          <w:rFonts w:ascii="Arial" w:hAnsi="Arial" w:cs="Arial"/>
          <w:bCs/>
          <w:iCs/>
          <w:color w:val="FF0000"/>
        </w:rPr>
      </w:pPr>
    </w:p>
    <w:p w14:paraId="140B6F5A">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436ED52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inciso XXIII, alínea 'e', e 40, §1º, inciso II, da Lei nº 14.133/2021)</w:t>
      </w:r>
    </w:p>
    <w:p w14:paraId="4E1EFCF4">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w:t>
      </w:r>
      <w:r>
        <w:rPr>
          <w:rFonts w:hint="default" w:ascii="Arial" w:hAnsi="Arial" w:cs="Arial"/>
          <w:b/>
          <w:bCs w:val="0"/>
          <w:iCs/>
          <w:u w:val="single"/>
          <w:lang w:val="pt-BR"/>
        </w:rPr>
        <w:t>Condições de Entrega:</w:t>
      </w:r>
    </w:p>
    <w:p w14:paraId="6DE4F2D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entrega do material médico-hospitalar, na quantidade determinada em cada requisição </w:t>
      </w:r>
      <w:r>
        <w:rPr>
          <w:rFonts w:hint="default" w:ascii="Arial" w:hAnsi="Arial" w:cs="Arial"/>
          <w:b/>
          <w:bCs w:val="0"/>
          <w:iCs/>
          <w:lang w:val="pt-BR"/>
        </w:rPr>
        <w:t>— Solicitação de Atendimento de Demanda (SAD) —</w:t>
      </w:r>
      <w:r>
        <w:rPr>
          <w:rFonts w:hint="default" w:ascii="Arial" w:hAnsi="Arial" w:cs="Arial"/>
          <w:bCs/>
          <w:iCs/>
          <w:lang w:val="pt-BR"/>
        </w:rPr>
        <w:t xml:space="preserve"> deverá ser realizada de forma integral, em até 20 (vinte) dias corridos contados do recebimento da nota de empenho ou da assinatura do instrumento contratual equivalente, ressalvados os casos em que a Administração Pública, previamente e em decisão fundamentada, autorizar a dilação desse prazo. Qualquer despesa inerente ao processo de logística para entrega do produto ficará sob a responsabilidade do fornecedor registrado.</w:t>
      </w:r>
    </w:p>
    <w:p w14:paraId="071BF6C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-Caso o término do prazo de entrega recaia em dia não útil, a entrega deverá ser realizada no primeiro dia útil subsequente, sem prejuízo das demais condições estabelecidas neste instrumento.</w:t>
      </w:r>
    </w:p>
    <w:p w14:paraId="2DB4E7C1">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Caso não seja possível a entrega na data assinalada, a empresa deverá comunicar as razões respectivas com pelo menos </w:t>
      </w:r>
      <w:r>
        <w:rPr>
          <w:rFonts w:hint="default" w:ascii="Arial" w:hAnsi="Arial" w:cs="Arial"/>
          <w:b/>
          <w:bCs w:val="0"/>
          <w:iCs/>
          <w:lang w:val="pt-BR"/>
        </w:rPr>
        <w:t>5 (cinco) dias úteis de antecedência,</w:t>
      </w:r>
      <w:r>
        <w:rPr>
          <w:rFonts w:hint="default" w:ascii="Arial" w:hAnsi="Arial" w:cs="Arial"/>
          <w:bCs/>
          <w:iCs/>
          <w:lang w:val="pt-BR"/>
        </w:rPr>
        <w:t xml:space="preserve"> para que qualquer pleito de prorrogação de prazo seja analisado, ressalvadas situações de caso fortuito e força maior.</w:t>
      </w:r>
    </w:p>
    <w:p w14:paraId="3B19A0B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bens deverão ser entregues no </w:t>
      </w:r>
      <w:r>
        <w:rPr>
          <w:rFonts w:hint="default" w:ascii="Arial" w:hAnsi="Arial" w:cs="Arial"/>
          <w:b/>
          <w:bCs w:val="0"/>
          <w:iCs/>
          <w:lang w:val="pt-BR"/>
        </w:rPr>
        <w:t>Almoxarifado Central da Secretaria Municipal de Saúde de Nova Friburgo/RJ,</w:t>
      </w:r>
      <w:r>
        <w:rPr>
          <w:rFonts w:hint="default" w:ascii="Arial" w:hAnsi="Arial" w:cs="Arial"/>
          <w:bCs/>
          <w:iCs/>
          <w:lang w:val="pt-BR"/>
        </w:rPr>
        <w:t xml:space="preserve"> sito na Avenida Conselheiro Július Arp, nº 80 — Bloco 12 — Espaço Arp — Centro — Nova Friburgo/RJ, de segunda a sexta-feira, exceto feriados, no horário das 08h00 às 13h00, ou em local previamente estabelecido e sinalizado no momento do envio da nota de empenho.</w:t>
      </w:r>
    </w:p>
    <w:p w14:paraId="22C5275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Todas as despesas com transporte, frete, seguro e descarregamento dos materiais correrão exclusivamente por conta da Contratada, sem qualquer ônus adicional para a Administração. Para tanto, a Contratada deverá disponibilizar pessoal suficiente para a descarga (carregadores/chapas), bem como os equipamentos adequados necessários à movimentação dos volumes, tais como paleteiras, carrinhos de transporte de carga e demais instrumentos que se fizerem necessários à execução segura e eficiente da entrega, preservando a integridade dos produtos e das instalações do Almoxarifado Central.</w:t>
      </w:r>
    </w:p>
    <w:p w14:paraId="2BE5EF5E">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O descumprimento das condições de entrega previstas neste item, incluindo atraso injustificado, entrega em local diverso do indicado, entrega fora do horário estabelecido, recusa ou ausência de pessoal e equipamentos para descarga, sujeitará a Contratada às sanções administrativas previstas na Seção 7 do Termo de Referência, aplicáveis de forma gradual e motivada, conforme a natureza e a gravidade da infração, podendo consistir em:</w:t>
      </w:r>
    </w:p>
    <w:p w14:paraId="154B508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 Advertência, nos termos do art. 156, inciso I, da Lei nº 14.133/2021, nas ocorrências isoladas de menor gravidade, como entrega fora do horário ou ausência de pessoal e/ou equipamento de descarga, desde que sem prejuízo ao recebimento e à qualidade dos materiais;</w:t>
      </w:r>
    </w:p>
    <w:p w14:paraId="739C370E">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b) Multa moratória, nos percentuais e prazos definidos na Seção 7, quando verificado atraso injustificado na entrega, calculada sobre o valor da parcela inadimplida;</w:t>
      </w:r>
    </w:p>
    <w:p w14:paraId="49FDDCC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c) Multa compensatória, sobre o valor total da contratação, nas hipóteses de inexecução parcial ou total, nos percentuais definidos na Seção 7;</w:t>
      </w:r>
    </w:p>
    <w:p w14:paraId="4F0EA860">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d) Multa por reincidência, aplicada em dobro sobre a multa originalmente aplicada, quando a Contratada incorrer pela segunda vez ou mais na mesma infração no curso do mesmo contrato, independentemente de a infração anterior ter sido objeto de advertência ou multa, observados o contraditório e a ampla defesa;</w:t>
      </w:r>
    </w:p>
    <w:p w14:paraId="6C5CA5AE">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e) Impedimento de licitar e contratar ou declaração de inidoneidade, nas hipóteses mais graves ou de reincidência contumaz, conforme os arts. 156 e seguintes da Lei nº 14.133/2021, observados sempre o contraditório e a ampla defesa.</w:t>
      </w:r>
    </w:p>
    <w:p w14:paraId="69359F1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materiais médico-hospitalares deverão ser entregues com prazo de validade correspondente a no mínimo </w:t>
      </w:r>
      <w:r>
        <w:rPr>
          <w:rFonts w:hint="default" w:ascii="Arial" w:hAnsi="Arial" w:cs="Arial"/>
          <w:b/>
          <w:bCs w:val="0"/>
          <w:iCs/>
          <w:lang w:val="pt-BR"/>
        </w:rPr>
        <w:t>80% (oitenta por cento) do prazo de validade plena indicado pelo fabricante,</w:t>
      </w:r>
      <w:r>
        <w:rPr>
          <w:rFonts w:hint="default" w:ascii="Arial" w:hAnsi="Arial" w:cs="Arial"/>
          <w:bCs/>
          <w:iCs/>
          <w:lang w:val="pt-BR"/>
        </w:rPr>
        <w:t xml:space="preserve"> contados da data do recebimento definitivo. Na hipótese de absoluta impossibilidade de cumprimento desta condição, devidamente justificada pelo fornecedor e previamente avaliada pela Área de Almoxarifado, poderá ser admitida, em caráter de extrema excepcionalidade, a entrega do produto com validade inferior, obrigando-se o fornecedor a proceder à imediata substituição quando acionado, na hipótese de inviabilidade de utilização dos produtos dentro do prazo de validade.</w:t>
      </w:r>
    </w:p>
    <w:p w14:paraId="2028F2F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exigência de 80% de validade plena faz-se necessária em razão de o processo para a realização do pedido possuir, via de regra, previsão para 03 (três) meses de consumo, sendo influenciado por fatores diversos, tais como fortuitos sazonais, questões técnicas relacionadas à produção dos fabricantes, logística na entrega, surtos de doenças específicas e alterações generalizadas na demanda.</w:t>
      </w:r>
    </w:p>
    <w:p w14:paraId="191A2ADE">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entrega de produtos com prazo de validade inferior ao previsto no item 5.4 somente poderá ocorrer mediante autorização prévia da Área de Almoxarifado, acompanhada de Carta de Compromisso de Troca sem qualquer encargo, termo ou condição. </w:t>
      </w:r>
    </w:p>
    <w:p w14:paraId="64AE68F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
          <w:bCs w:val="0"/>
          <w:iCs/>
          <w:lang w:val="pt-BR"/>
        </w:rPr>
        <w:t>-A eventual presença de elementos acidentais incluídos unilateralmente pela Contratada no instrumento citado será considerada não escrita pela Administração Pública</w:t>
      </w:r>
      <w:r>
        <w:rPr>
          <w:rFonts w:hint="default" w:ascii="Arial" w:hAnsi="Arial" w:cs="Arial"/>
          <w:bCs/>
          <w:iCs/>
          <w:lang w:val="pt-BR"/>
        </w:rPr>
        <w:t>, podendo a Área de Almoxarifado, a qualquer tempo, revogar eventual autorização de entrega com prazo de validade diverso e deflagrar o processo punitivo contra aqueles que descumprirem as regras contratuais originárias e demais ajustes firmados supervenientemente com a Administração.</w:t>
      </w:r>
    </w:p>
    <w:p w14:paraId="2B208AA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produtos entregues com prazo de validade inferior ao previsto no item 5.4, cuja entrega tenha sido autorizada nos termos do item 5.4.2, e que venham a vencer sem utilização durante o período de guarda no Almoxarifado Central, serão de responsabilidade exclusiva da Contratada quanto ao seu descarte, devendo esta proceder à retirada por meio de logística reversa, concomitantemente à entrega dos produtos substitutos com validade regular ou, no máximo, na mesma data desta entrega. O descarte deverá observar as exigências da Lei Federal nº 12.305/2010 (Política Nacional de Resíduos Sólidos), da RDC ANVISA nº 222/2018 (Gerenciamento de Resíduos de Serviços de Saúde) e das demais normas sanitárias e ambientais aplicáveis à categoria do produto, sendo vedado o abandono, a destinação inadequada ou o descarte em rede de resíduos comuns. </w:t>
      </w:r>
      <w:r>
        <w:rPr>
          <w:rFonts w:hint="default" w:ascii="Arial" w:hAnsi="Arial" w:cs="Arial"/>
          <w:b/>
          <w:bCs w:val="0"/>
          <w:iCs/>
          <w:lang w:val="pt-BR"/>
        </w:rPr>
        <w:t>Não se aplica esta obrigação</w:t>
      </w:r>
      <w:r>
        <w:rPr>
          <w:rFonts w:hint="default" w:ascii="Arial" w:hAnsi="Arial" w:cs="Arial"/>
          <w:bCs/>
          <w:iCs/>
          <w:lang w:val="pt-BR"/>
        </w:rPr>
        <w:t xml:space="preserve"> aos produtos entregues em conformidade com o item 5.4 que venham a vencer em razão de consumo inferior ao previsto durante o período de vigência do contrato, nem aos produtos recusados no ato da entrega por já se encontrarem vencidos, cujo retorno é responsabilidade imediata da Contratada independentemente de qualquer formalidade.</w:t>
      </w:r>
    </w:p>
    <w:p w14:paraId="527A22F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materiais médico-hospitalares deverão ser transportados, entregues e acondicionados adequadamente, de acordo com as instruções do fabricante e nas condições de temperatura, umidade e proteção exigidas para sua conservação, preservando as características técnicas e sanitárias dos produtos até o momento da entrega no Almoxarifado Central. O descumprimento das condições de acondicionamento e transporte ensejará a devolução imediata dos produtos pela Área de Almoxarifado, com a obrigação de substituição por lote diverso do apresentado inicialmente, sem ônus para a Administração.</w:t>
      </w:r>
    </w:p>
    <w:p w14:paraId="46963F21">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materiais deverão ser entregues acompanhados das respectivas notas fiscais e das notas de empenho correspondentes, devidamente preenchidas, além de ficha técnica ou instruções de uso quando aplicável à categoria do produto.</w:t>
      </w:r>
    </w:p>
    <w:p w14:paraId="081B0664">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-Para materiais importados, será obrigatória a entrega de manual de instruções em língua portuguesa.</w:t>
      </w:r>
    </w:p>
    <w:p w14:paraId="70DB89C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-Todos os produtos deverão ser entregues em embalagens originais, lacradas e íntegras, sem sinais de violação, umidade, amassados ou qualquer avaria que comprometa a qualidade ou a segurança do material.</w:t>
      </w:r>
    </w:p>
    <w:p w14:paraId="3FA748A2">
      <w:pPr>
        <w:pStyle w:val="20"/>
        <w:widowControl/>
        <w:numPr>
          <w:ilvl w:val="0"/>
          <w:numId w:val="0"/>
        </w:numPr>
        <w:tabs>
          <w:tab w:val="left" w:pos="426"/>
        </w:tabs>
        <w:autoSpaceDE/>
        <w:autoSpaceDN/>
        <w:spacing w:before="120" w:after="120" w:line="276" w:lineRule="auto"/>
        <w:jc w:val="both"/>
        <w:rPr>
          <w:rFonts w:hint="default" w:ascii="Arial" w:hAnsi="Arial" w:cs="Arial"/>
          <w:b/>
          <w:bCs w:val="0"/>
          <w:iCs/>
          <w:u w:val="single"/>
          <w:lang w:val="pt-BR"/>
        </w:rPr>
      </w:pPr>
      <w:r>
        <w:rPr>
          <w:rFonts w:hint="default" w:ascii="Arial" w:hAnsi="Arial" w:cs="Arial"/>
          <w:b/>
          <w:bCs w:val="0"/>
          <w:iCs/>
          <w:u w:val="single"/>
          <w:lang w:val="pt-BR"/>
        </w:rPr>
        <w:t>-Garantia, manutenção e assistência técnica:</w:t>
      </w:r>
    </w:p>
    <w:p w14:paraId="72A21C9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prazo de garantia é aquele estabelecido na Lei nº 8.078, de 11 de setembro de 1990 (Código de Defesa do Consumidor), ou pelo prazo fornecido pelo fabricante, se superior, contado a partir do primeiro dia útil subsequente à data do recebimento definitivo do objeto.</w:t>
      </w:r>
    </w:p>
    <w:p w14:paraId="26EA1D50">
      <w:pPr>
        <w:pStyle w:val="20"/>
        <w:widowControl/>
        <w:numPr>
          <w:ilvl w:val="0"/>
          <w:numId w:val="0"/>
        </w:numPr>
        <w:tabs>
          <w:tab w:val="left" w:pos="426"/>
        </w:tabs>
        <w:autoSpaceDE/>
        <w:autoSpaceDN/>
        <w:spacing w:before="120" w:after="120" w:line="276" w:lineRule="auto"/>
        <w:jc w:val="both"/>
        <w:rPr>
          <w:rFonts w:hint="default" w:ascii="Arial" w:hAnsi="Arial" w:cs="Arial"/>
          <w:bCs/>
          <w:iCs/>
          <w:u w:val="single"/>
          <w:lang w:val="pt-BR"/>
        </w:rPr>
      </w:pPr>
      <w:r>
        <w:rPr>
          <w:rFonts w:hint="default" w:ascii="Arial" w:hAnsi="Arial" w:cs="Arial"/>
          <w:bCs/>
          <w:iCs/>
          <w:u w:val="single"/>
          <w:lang w:val="pt-BR"/>
        </w:rPr>
        <w:t>3.2 MODELO DE GESTÃO DO CONTRATO (art. 6º, inciso XXIII, alínea 'f', da Lei nº 14.133/2021)</w:t>
      </w:r>
    </w:p>
    <w:p w14:paraId="5889A5D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-Disposições gerais da execução</w:t>
      </w:r>
    </w:p>
    <w:p w14:paraId="1B91D19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 contrato ou instrumento equivalente deverá ser executado fielmente pelas partes, de acordo com as cláusulas avençadas, as disposições do Termo de Referência e as normas da Lei nº 14.133/2021, respondendo cada parte pelas consequências de sua inexecução total ou parcial.</w:t>
      </w:r>
    </w:p>
    <w:p w14:paraId="624F7FAF">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 objeto da presente contratação consiste no fornecimento de materiais médico-hospitalares descartáveis e de uso único, pertencentes ao grupo de sondas, tubos e drenos, destinados à utilização em procedimentos clínicos, assistenciais e cirúrgicos realizados pelas unidades vinculadas à Secretaria Municipal de Saúde.</w:t>
      </w:r>
    </w:p>
    <w:p w14:paraId="51C416B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-Os materiais deverão ser fornecidos conforme as condições, quantidades, prazos, especificações técnicas e locais de entrega estabelecidos no Termo de Referência, no Edital e nos demais documentos que compõem o processo.-Em caso de impedimento, ordem de paralisação, suspensão da execução ou outro fato superveniente devidamente justificado, o cronograma de fornecimento poderá ser ajustado pelo período correspondente, mediante registro formal nos autos.</w:t>
      </w:r>
    </w:p>
    <w:p w14:paraId="190D937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-As comunicações entre a Contratante e a Contratada deverão ser realizadas por escrito sempre que o ato exigir tal formalidade, admitindo-se o uso de mensagem eletrônica ou outro meio oficialmente indicado pela Administração.</w:t>
      </w:r>
    </w:p>
    <w:p w14:paraId="22A46F0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Administração poderá convocar representante da Contratada para reunião inicial, apresentação das rotinas de fiscalização, esclarecimento das obrigações contratuais e adoção de providências necessárias à adequada execução do objeto.</w:t>
      </w:r>
    </w:p>
    <w:p w14:paraId="38CDAAF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-Garantia, manutenção e assistência técnica</w:t>
      </w:r>
    </w:p>
    <w:p w14:paraId="089656A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-Em razão da natureza descartável e de uso único dos materiais, não se aplica ao objeto a exigência de prazo de garantia contratual complementar à garantia legal, nos termos do art. 40, §1º, inciso III, da Lei nº 14.133/2021.</w:t>
      </w:r>
    </w:p>
    <w:p w14:paraId="0A604E42">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-Pelos mesmos fundamentos, não se aplicam ao objeto condições de manutenção preventiva, manutenção corretiva ou assistência técnica, uma vez que os materiais não são passíveis de reparos, ajustes ou substituição de peças após sua utilização.</w:t>
      </w:r>
    </w:p>
    <w:p w14:paraId="7F497C9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-Sem prejuízo do disposto nos itens anteriores, aplica-se ao objeto a garantia legal cabível, especialmente quanto a vícios de qualidade ou quantidade que tornem os produtos impróprios ou inadequados ao uso a que se destinam, ou que lhes diminuam o valor.</w:t>
      </w:r>
    </w:p>
    <w:p w14:paraId="660BDA94">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 recebimento definitivo dos materiais não exclui a responsabilidade da Contratada por vícios ocultos, defeitos de fabricação, irregularidades sanitárias ou desconformidades posteriormente identificadas durante o prazo de validade dos produtos.</w:t>
      </w:r>
    </w:p>
    <w:p w14:paraId="196F7AE1">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-Vícios de qualidade e requisitos mínimos dos produtos-</w:t>
      </w:r>
    </w:p>
    <w:p w14:paraId="13FA7FD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-Caracterizam-se como vícios de qualidade, entre outros:</w:t>
      </w:r>
    </w:p>
    <w:p w14:paraId="6E30A250">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 produtos com embalagem violada, danificada ou inadequada, que comprometa a esterilidade ou integridade do material;</w:t>
      </w:r>
    </w:p>
    <w:p w14:paraId="7C81FF1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b) produtos com prazo de validade expirado ou em desconformidade com o exigido no Termo de Referência;</w:t>
      </w:r>
    </w:p>
    <w:p w14:paraId="21A9C13F">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c) produtos com especificações técnicas divergentes da proposta, do Edital ou do Termo de Referência;</w:t>
      </w:r>
    </w:p>
    <w:p w14:paraId="4DABF23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d) produtos com defeitos de fabricação que comprometam sua funcionalidade, segurança ou eficácia;</w:t>
      </w:r>
    </w:p>
    <w:p w14:paraId="7D12C72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e) produtos sem registro, notificação, cadastro ou regularização sanitária válida junto à ANVISA, quando exigível;</w:t>
      </w:r>
    </w:p>
    <w:p w14:paraId="0C910E92">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f) produtos com rotulagem incompleta, ilegível ou em desacordo com a legislação sanitária vigente;</w:t>
      </w:r>
    </w:p>
    <w:p w14:paraId="38698CF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g) produtos entregues em quantidade divergente, lote incompatível, embalagem inadequada ou condições impróprias de transporte e armazenamento.</w:t>
      </w:r>
    </w:p>
    <w:p w14:paraId="72AA3EA4">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-Os produtos fornecidos deverão atender, no mínimo, aos seguintes requisitos de qualidade:</w:t>
      </w:r>
    </w:p>
    <w:p w14:paraId="0F98870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 estar em perfeitas condições de uso;</w:t>
      </w:r>
    </w:p>
    <w:p w14:paraId="523F594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b) estar acondicionados em embalagens íntegras, adequadas e compatíveis com a natureza do produto;</w:t>
      </w:r>
    </w:p>
    <w:p w14:paraId="7A1F317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c) preservar a integridade, esterilidade, rastreabilidade e segurança do material até o momento da utilização;</w:t>
      </w:r>
    </w:p>
    <w:p w14:paraId="0B0C6FA9">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d) apresentar prazo de validade mínimo de 2/3 (dois terços) da validade total do produto no momento da entrega, salvo justificativa aceita pela Administração;</w:t>
      </w:r>
    </w:p>
    <w:p w14:paraId="56D9AA30">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e) conter rotulagem em língua portuguesa, com identificação do fabricante, marca, lote, data de fabricação, prazo de validade, número de registro/notificação/cadastro na ANVISA, quando aplicável, instruções de uso e condições de armazenamento;</w:t>
      </w:r>
    </w:p>
    <w:p w14:paraId="3B2A0C4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f) estar em conformidade com as normas técnicas aplicáveis e com a legislação sanitária vigente, especialmente a RDC ANVISA nº 751/2022, quando aplicável à categoria do produto.</w:t>
      </w:r>
    </w:p>
    <w:p w14:paraId="7718C69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-Os produtos que apresentarem vícios de qualidade ou quantidade deverão ser substituídos pela Contratada no prazo de 03 (três) dias úteis, contado da notificação formal pela Contratante, às expensas da Contratada, sem prejuízo da aplicação das sanções cabíveis.</w:t>
      </w:r>
    </w:p>
    <w:p w14:paraId="42B53D39">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notificação de vícios poderá ser realizada durante o prazo de validade dos produtos, ainda que após o recebimento definitivo, quando se tratar de vício oculto, defeito de fabricação ou desconformidade não identificável no momento da entrega.</w:t>
      </w:r>
    </w:p>
    <w:p w14:paraId="6024A30F">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Contratada deverá providenciar a retirada dos produtos recusados ou substituídos no prazo de 05 (cinco) dias úteis, contado da comunicação da Contratante, sob pena de descarte pela Administração, sem direito a ressarcimento.</w:t>
      </w:r>
    </w:p>
    <w:p w14:paraId="2F625C1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-Ainda que não seja fabricante dos produtos fornecidos, a Contratada responderá pela qualidade, autenticidade, regularidade sanitária e conformidade dos materiais entregues, obrigando-se a substituir, às suas expensas, os produtos em que forem constatados vícios, defeitos, irregularidades ou incorreções decorrentes da fabricação, transporte, armazenamento ou fornecimento inadequado.</w:t>
      </w:r>
    </w:p>
    <w:p w14:paraId="2E0B0D0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-Fiscalização da execução</w:t>
      </w:r>
    </w:p>
    <w:p w14:paraId="54A00329">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 execução do contrato deverá ser acompanhada e fiscalizada pelo(s) fiscal(is) designado(s) pela Administração, ou pelos respectivos substitutos, nos termos da Lei nº 14.133/2021.</w:t>
      </w:r>
    </w:p>
    <w:p w14:paraId="2005DE20">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 fiscalização de que trata esta seção não exclui nem reduz a responsabilidade da Contratada por qualquer irregularidade, inclusive perante terceiros, ainda que resultante de imperfeições técnicas, vícios, defeitos, emprego de material inadequado ou produto de qualidade inferior.</w:t>
      </w:r>
    </w:p>
    <w:p w14:paraId="0A6E4F6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 atuação da fiscalização não implicará corresponsabilidade da Contratante, de seus agentes, gestores ou fiscais quanto a irregularidades atribuíveis à Contratada.</w:t>
      </w:r>
    </w:p>
    <w:p w14:paraId="1C25AA12">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-Fiscalização técnica</w:t>
      </w:r>
    </w:p>
    <w:p w14:paraId="5EB2A9B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fiscal técnico acompanhará a execução do objeto, verificando o cumprimento das especificações, prazos, condições de entrega, qualidade dos materiais e demais exigências estabelecidas neste Termo de Referência.</w:t>
      </w:r>
    </w:p>
    <w:p w14:paraId="0016324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 fiscal técnico registrará no histórico de gerenciamento do contrato todas as ocorrências relacionadas à execução, com descrição das falhas, providências adotadas e medidas necessárias à regularização.</w:t>
      </w:r>
    </w:p>
    <w:p w14:paraId="4873920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Identificada inexatidão, desconformidade ou irregularidade, o fiscal técnico notificará a Contratada para correção, substituição ou adoção das providências cabíveis, fixando prazo compatível com a natureza da ocorrência.</w:t>
      </w:r>
    </w:p>
    <w:p w14:paraId="287FBFA1">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-O fiscal técnico comunicará ao gestor do contrato, em tempo hábil, as situações que demandarem decisão ou providência que ultrapasse sua competência.</w:t>
      </w:r>
    </w:p>
    <w:p w14:paraId="49E047B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-No caso de ocorrências que possam comprometer a execução do contrato, o abastecimento das unidades ou o cumprimento dos prazos pactuados, o fiscal técnico comunicará o fato imediatamente ao gestor do contrato.</w:t>
      </w:r>
    </w:p>
    <w:p w14:paraId="5185E4C2">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fiscal técnico comunicará ao gestor do contrato, em tempo hábil, a proximidade do término da vigência contratual ou da ata, quando houver, com vistas à adoção das providências administrativas cabíveis.</w:t>
      </w:r>
    </w:p>
    <w:p w14:paraId="5D287014">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-Fiscalização administrativa</w:t>
      </w:r>
    </w:p>
    <w:p w14:paraId="3085FF9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fiscal administrativo acompanhará os aspectos formais da execução contratual, incluindo manutenção das condições de habilitação, empenho, notas fiscais, pagamentos, glosas, apostilamentos, termos aditivos e demais documentos pertinentes.</w:t>
      </w:r>
    </w:p>
    <w:p w14:paraId="2E11C33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-Caso ocorra descumprimento de obrigação contratual, o fiscal administrativo atuará tempestivamente na solução do problema, comunicando o gestor do contrato quando a providência ultrapassar sua competência.</w:t>
      </w:r>
    </w:p>
    <w:p w14:paraId="05984F7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-As notas fiscais deverão ser atestadas pelos fiscais competentes e encaminhadas ao setor de Gerência de Planejamento Orçamentário e Financeiro da Secretaria Municipal de Saúde, observados os prazos e rotinas internas aplicáveis.</w:t>
      </w:r>
    </w:p>
    <w:p w14:paraId="56D9B9B5">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encaminhamento das notas fiscais deverá considerar o tempo necessário ao recebimento provisório, ao recebimento definitivo, à conferência dos materiais e à verificação da conformidade do objeto entregue.</w:t>
      </w:r>
    </w:p>
    <w:p w14:paraId="1F0078DF">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fiscal administrativo deverá encaminhar a documentação pertinente ao setor responsável pela formalização dos procedimentos de pré-liquidação e pagamento, no valor efetivamente dimensionado e aprovado pela fiscalização.</w:t>
      </w:r>
    </w:p>
    <w:p w14:paraId="0FDAA19D">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-Gestor do contrato</w:t>
      </w:r>
    </w:p>
    <w:p w14:paraId="5CAFCDC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-Caberá ao gestor do contrato coordenar o acompanhamento e a fiscalização da execução contratual, mantendo registros formais das ocorrências, comunicações, notificações, alterações, prorrogações e demais atos relevantes.</w:t>
      </w:r>
    </w:p>
    <w:p w14:paraId="20BB017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-Compete ao gestor acompanhar os registros realizados pelos fiscais técnico e administrativo, bem como as providências adotadas para correção de falhas ou irregularidades verificadas durante a execução.</w:t>
      </w:r>
    </w:p>
    <w:p w14:paraId="6853E90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gestor acompanhará a manutenção das condições de habilitação da Contratada, para fins de empenho, liquidação e pagamento, registrando eventuais problemas que possam comprometer o fluxo regular da despesa.</w:t>
      </w:r>
    </w:p>
    <w:p w14:paraId="73EF370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-O gestor poderá emitir ou consolidar documento de avaliação do cumprimento das obrigações assumidas pela Contratada, com base nas informações prestadas pelos fiscais técnico e administrativo.</w:t>
      </w:r>
    </w:p>
    <w:p w14:paraId="0E48FAF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-Quando identificada situação que possa ensejar aplicação de sanção, o gestor adotará as providências necessárias à formalização de processo administrativo de responsabilização, nos termos da Lei nº 14.133/2021.</w:t>
      </w:r>
    </w:p>
    <w:p w14:paraId="661D76B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Ao final da execução contratual, quando cabível, o gestor elaborará relatório com informações sobre o cumprimento do objeto, a adequação da contratação às necessidades da Administração e eventuais medidas de aprimoramento para contratações futuras.</w:t>
      </w:r>
    </w:p>
    <w:p w14:paraId="494FD62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-Além das obrigações resultantes da Lei nº. 14.133/2021, da Ata de Registro de Preços, do contrato ou instrumento equivalente e das demais normas aplicáveis, são obrigações da Contratada</w:t>
      </w:r>
    </w:p>
    <w:p w14:paraId="226E76DA">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-Atender todas as solicitações de fornecimento efetuada durante a vigência da Ata de Registro de Preços, limitada ao quantitativo registrado de cada item</w:t>
      </w:r>
    </w:p>
    <w:p w14:paraId="4CC1ECDB">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Fornecer o objeto de acordo com as especificações constantes no Termo de Referência, em consonância com a proposta apresentada, com as exigências do Edital e com os padrões de qualidade e segurança estabelecidos pela legislação sanitária vigente.</w:t>
      </w:r>
    </w:p>
    <w:p w14:paraId="14F53F0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-Responsabilizar-se pela boa execução e eficiência no fornecimento dos produtos objeto do Termo de Referência. </w:t>
      </w:r>
    </w:p>
    <w:p w14:paraId="417FBA6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-Reparar, corrigir, remover ou substituir, às suas expensas, no todo ou em parte, os produtos em que se verifiquem danos, vícios, defeitos, avarias ou desconformidades decorrentes da fabricação, do transporte, do armazenamento ou da entrega. </w:t>
      </w:r>
    </w:p>
    <w:p w14:paraId="090D783B">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-Providenciar a imediata correção das deficiências apontadas pela Contratante quando da entrega dos produtos, observados os prazos de substituição e saneamento estabelecidos no Termo de Referência. </w:t>
      </w:r>
    </w:p>
    <w:p w14:paraId="4C346B1B">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-Apresentar, sempre que solicitado, documentos que comprovem a procedência, regularidade sanitária, autenticidade, lote, validade, registro, notificação ou cadastro do produto junto à ANVISA, quando aplicável, sem qualquer ônus adicional para a Administração. </w:t>
      </w:r>
    </w:p>
    <w:p w14:paraId="41E917D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-Não subcontratar, ceder ou transferir, total ou parcialmente, o objeto do contrato, da Ata de Registro de Preços ou do instrumento equivalente, salvo autorização expressa da Administração, quando juridicamente cabível e devidamente justificada. </w:t>
      </w:r>
    </w:p>
    <w:p w14:paraId="7D6BADEC">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-Manter, durante toda a vigência da Ata de Registro de Preços, do contrato ou do instrumento equivalente, todas as condições de habilitação e qualificação exigidas na licitação. </w:t>
      </w:r>
    </w:p>
    <w:p w14:paraId="002A4C2E">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-Estender aos contratos ou instrumentos decorrentes da Ata de Registro de Preços os benefícios, vantagens comerciais e promoções supervenientes oferecidos aos demais clientes da Contratada, quando compatíveis com o regime jurídico da contratação pública e desde que não impliquem alteração indevida das condições licitadas. </w:t>
      </w:r>
    </w:p>
    <w:p w14:paraId="4C6195F8">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-Responsabilizar-se por quaisquer danos ou prejuízos físicos, materiais ou assistenciais causados à Administração ou a terceiros por seus representantes, empregados, prepostos ou transportadores, decorrentes de imperícia, negligência, imprudência, falha logística, fornecimento inadequado ou desrespeito às normas de segurança e sanitárias aplicáveis. </w:t>
      </w:r>
    </w:p>
    <w:p w14:paraId="2623BBF1">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-Responsabilizar-se por todas e quaisquer despesas, inclusive de natureza previdenciária, fiscal, trabalhista, comercial ou civil, bem como emolumentos, fretes, seguros, tributos, ônus ou encargos de qualquer espécie e origem, pertinentes à execução do objeto contratado. </w:t>
      </w:r>
    </w:p>
    <w:p w14:paraId="5EBB62C0">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-Mesmo não sendo fabricante dos produtos fornecidos ou da matéria-prima empregada em sua fabricação, responder integral e solidariamente pela qualidade, autenticidade, procedência, segurança e conformidade dos materiais entregues, obrigando-se a substituir, às suas expensas, no todo ou em parte, os produtos em que se verificarem vícios, defeitos, incorreções ou desconformidades, constatados visualmente, documentalmente ou mediante análise técnica/laboratorial, quando cabível. </w:t>
      </w:r>
    </w:p>
    <w:p w14:paraId="706915BB">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 -Manter endereço eletrônico válido para fins de comunicação oficial com a Contratante durante todo o período de vigência da Ata, do contrato ou do instrumento equivalente, comunicando imediatamente eventual alteração. </w:t>
      </w:r>
    </w:p>
    <w:p w14:paraId="1BE5E1C7">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-Garantir que os produtos sejam entregues em embalagens íntegras, adequadas, identificadas e compatíveis com as condições de transporte e armazenamento exigidas, preservando a esterilidade, validade, segurança e rastreabilidade dos materiais médico-hospitalares. </w:t>
      </w:r>
    </w:p>
    <w:p w14:paraId="6A16F7A6">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r>
        <w:rPr>
          <w:rFonts w:hint="default" w:ascii="Arial" w:hAnsi="Arial" w:cs="Arial"/>
          <w:bCs/>
          <w:iCs/>
          <w:lang w:val="pt-BR"/>
        </w:rPr>
        <w:t xml:space="preserve">-Cumprir as normas sanitárias, ambientais e técnicas aplicáveis ao objeto, especialmente quanto à regularização dos produtos junto à ANVISA, quando exigível. </w:t>
      </w:r>
    </w:p>
    <w:p w14:paraId="361CE9E3">
      <w:pPr>
        <w:pStyle w:val="20"/>
        <w:widowControl/>
        <w:numPr>
          <w:ilvl w:val="0"/>
          <w:numId w:val="0"/>
        </w:numPr>
        <w:tabs>
          <w:tab w:val="left" w:pos="426"/>
        </w:tabs>
        <w:autoSpaceDE/>
        <w:autoSpaceDN/>
        <w:spacing w:before="120" w:after="120" w:line="276" w:lineRule="auto"/>
        <w:jc w:val="both"/>
        <w:rPr>
          <w:rFonts w:hint="default" w:ascii="Arial" w:hAnsi="Arial" w:cs="Arial"/>
          <w:bCs/>
          <w:iCs/>
          <w:lang w:val="pt-BR"/>
        </w:rPr>
      </w:pPr>
    </w:p>
    <w:p w14:paraId="6CC7C067">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27498A5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75C93073">
      <w:pPr>
        <w:pStyle w:val="20"/>
        <w:widowControl/>
        <w:tabs>
          <w:tab w:val="left" w:pos="426"/>
        </w:tabs>
        <w:autoSpaceDE/>
        <w:autoSpaceDN/>
        <w:spacing w:before="120" w:after="120" w:line="276" w:lineRule="auto"/>
        <w:ind w:left="0"/>
        <w:jc w:val="both"/>
        <w:rPr>
          <w:rFonts w:ascii="Arial" w:hAnsi="Arial" w:cs="Arial"/>
          <w:bCs/>
          <w:i/>
          <w:iCs/>
          <w:color w:val="FF0000"/>
        </w:rPr>
      </w:pPr>
    </w:p>
    <w:p w14:paraId="2560804C">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5915E26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22C2BC6D">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842EE9A">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3365B730">
      <w:pPr>
        <w:pStyle w:val="20"/>
        <w:widowControl/>
        <w:tabs>
          <w:tab w:val="left" w:pos="426"/>
        </w:tabs>
        <w:autoSpaceDE/>
        <w:autoSpaceDN/>
        <w:spacing w:before="120" w:after="120" w:line="276" w:lineRule="auto"/>
        <w:ind w:left="0"/>
        <w:jc w:val="both"/>
        <w:rPr>
          <w:rFonts w:ascii="Arial" w:hAnsi="Arial" w:cs="Arial"/>
          <w:bCs/>
          <w:i/>
          <w:color w:val="FF0000"/>
        </w:rPr>
      </w:pPr>
    </w:p>
    <w:p w14:paraId="4E131DE3">
      <w:pPr>
        <w:pStyle w:val="20"/>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C0555AA">
      <w:pPr>
        <w:pStyle w:val="20"/>
        <w:tabs>
          <w:tab w:val="left" w:pos="284"/>
        </w:tabs>
        <w:spacing w:line="276" w:lineRule="auto"/>
        <w:ind w:left="0"/>
        <w:jc w:val="both"/>
        <w:rPr>
          <w:rFonts w:hint="default" w:ascii="Arial" w:hAnsi="Arial" w:cs="Arial" w:eastAsiaTheme="majorEastAsia"/>
          <w:b w:val="0"/>
          <w:bCs w:val="0"/>
          <w:u w:val="single"/>
          <w:lang w:val="en-US" w:eastAsia="pt-BR"/>
        </w:rPr>
      </w:pPr>
      <w:r>
        <w:rPr>
          <w:rFonts w:hint="default" w:ascii="Arial" w:hAnsi="Arial" w:cs="Arial" w:eastAsiaTheme="majorEastAsia"/>
          <w:b w:val="0"/>
          <w:bCs w:val="0"/>
          <w:lang w:val="en-US" w:eastAsia="pt-BR"/>
        </w:rPr>
        <w:t xml:space="preserve">6.1 </w:t>
      </w:r>
      <w:r>
        <w:rPr>
          <w:rFonts w:hint="default" w:ascii="Arial" w:hAnsi="Arial" w:cs="Arial" w:eastAsiaTheme="majorEastAsia"/>
          <w:b w:val="0"/>
          <w:bCs w:val="0"/>
          <w:u w:val="single"/>
          <w:lang w:val="en-US" w:eastAsia="pt-BR"/>
        </w:rPr>
        <w:t>Recebimento:</w:t>
      </w:r>
    </w:p>
    <w:p w14:paraId="225B343A">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6.1.1 Os bens serão recebidos</w:t>
      </w:r>
      <w:r>
        <w:rPr>
          <w:rFonts w:hint="default" w:ascii="Arial" w:hAnsi="Arial" w:cs="Arial" w:eastAsiaTheme="majorEastAsia"/>
          <w:b/>
          <w:bCs/>
          <w:lang w:val="en-US" w:eastAsia="pt-BR"/>
        </w:rPr>
        <w:t xml:space="preserve"> provisoriamente</w:t>
      </w:r>
      <w:r>
        <w:rPr>
          <w:rFonts w:hint="default" w:ascii="Arial" w:hAnsi="Arial" w:cs="Arial" w:eastAsiaTheme="majorEastAsia"/>
          <w:b w:val="0"/>
          <w:bCs w:val="0"/>
          <w:lang w:val="en-US" w:eastAsia="pt-BR"/>
        </w:rPr>
        <w:t>, de forma sumária, no ato da entrega, acompanhado da nota fiscal ou instrumento de cobrança equivalente, pelo(a) responsável pelo acompanhamento e fiscalização do contrato, para efeito de posterior verificação de sua conformidade com as especificações constantes no Termo de Referência e na proposta.</w:t>
      </w:r>
    </w:p>
    <w:p w14:paraId="69D07005">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7AC71387">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6.1.3 O recebimento definitivo ocorrerá no prazo de 05 (cinco) dias úteis, contado do recebimento provisório acompanhado da nota fiscal ou instrumento de cobrança equivalente, após a verificação da qualidade, quantidade, integridade, validade, rotulagem, lote, regularidade sanitária e conformidade do material com as especificações do Termo de Referência e da proposta, mediante termo detalhado</w:t>
      </w:r>
    </w:p>
    <w:p w14:paraId="418A1303">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6.1.4 Para as contratações decorrentes de despesas cujos valores não ultrapassem o limite de que trata o inciso II do art. 75 da Lei nº 14.133/2021, o prazo máximo para o recebimento definitivo será de até 02 (dois) dias úteis.</w:t>
      </w:r>
    </w:p>
    <w:p w14:paraId="2DAD472B">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6.1.5 O prazo para recebimento definitivo poderá ser excepcionalmente prorrogado, de forma justificada, por igual período, quando houver necessidade de diligências para a aferição do atendimento das exigências contratuais.</w:t>
      </w:r>
    </w:p>
    <w:p w14:paraId="58AD236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6.1.6 No caso de controvérsia sobre a execução do objeto, quanto à dimensão, qualidade e quantidade, deverá ser observado o teor do art. 143 da Lei nº 14.133/2021, comunicando-se à empresa para emissão de Nota Fiscal quanto à parcela incontroversa da execução do objeto, para efeito de pré-liquidação, liquidação e pagamento.</w:t>
      </w:r>
    </w:p>
    <w:p w14:paraId="2CF2E65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6.1.7 O prazo para a solução, pelo Contratado, de inconsistências na execução do objeto ou de saneamento da nota fiscal ou de instrumento de cobrança equivalente, verificadas pela Administração durante a análise prévia à pré-liquidação de despesa, não será computado para os fins do recebimento definitivo.</w:t>
      </w:r>
    </w:p>
    <w:p w14:paraId="4BF63D5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6.1.8 O recebimento provisório ou definitivo não excluirá a responsabilidade civil da Contratada pela qualidade, segurança, integridade, esterilidade, validade, regularidade sanitária e adequação dos bens fornecidos, nem sua responsabilidade pela perfeita execução da contratação, nos limites da lei e do Termo de Referência.</w:t>
      </w:r>
    </w:p>
    <w:p w14:paraId="2E137FD1">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Pré-Liquidação:</w:t>
      </w:r>
    </w:p>
    <w:p w14:paraId="01ABF777">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 Recebida a Nota Fiscal ou documento de cobrança equivalente, correrá o prazo de 15 (quinze) dias úteis para fins de pré-liquidação, nos termos do art. 2º, §4º, do Decreto Municipal nº 2.493/2023.</w:t>
      </w:r>
    </w:p>
    <w:p w14:paraId="36B07FBD">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O prazo de que trata o item anterior será de 02 (dois) dias úteis no caso de contratações decorrentes de despesas cujos valores não ultrapassem o limite de que trata o inciso II do art. 75 da Lei nº 14.133/2021, nos termos do art. 2º, §3º, inciso I, do Decreto Municipal nº 2.493/2023.</w:t>
      </w:r>
    </w:p>
    <w:p w14:paraId="24A8ED9F">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6.2.3 Para fins de pré-liquidação, o setor competente deverá verificar se a nota fiscal ou instrumento de cobrança equivalente apresentado expressa os elementos necessários e essenciais do documento, tais como:</w:t>
      </w:r>
    </w:p>
    <w:p w14:paraId="0A1AB959">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o prazo de validade;</w:t>
      </w:r>
    </w:p>
    <w:p w14:paraId="001B8A5B">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a data da emissão;</w:t>
      </w:r>
    </w:p>
    <w:p w14:paraId="5D79138E">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c) os dados do contrato e do órgão contratante;</w:t>
      </w:r>
    </w:p>
    <w:p w14:paraId="02EA23E2">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d) dados bancários para pagamento;</w:t>
      </w:r>
    </w:p>
    <w:p w14:paraId="64874BB3">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 o período respectivo de execução do contrato;</w:t>
      </w:r>
    </w:p>
    <w:p w14:paraId="625564C0">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 o valor a pagar; e</w:t>
      </w:r>
    </w:p>
    <w:p w14:paraId="29DB8148">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g) eventual destaque do valor de retenções tributárias cabíveis.</w:t>
      </w:r>
    </w:p>
    <w:p w14:paraId="41A133BB">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6.2.4 Havendo erro na apresentação da nota fiscal ou instrumento de cobrança equivalente, ou circunstância que impeça o processamento da despesa, esta ficará sobrestada até que o Contratado providencie as medidas saneadoras, reiniciando-se o prazo após a comprovação da regularização da situação, sem ônus ao Contratante.</w:t>
      </w:r>
    </w:p>
    <w:p w14:paraId="49EE7001">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14.133/2021.</w:t>
      </w:r>
    </w:p>
    <w:p w14:paraId="08D9758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6.2.6 A Administração deverá realizar consulta ao SICAF para:</w:t>
      </w:r>
    </w:p>
    <w:p w14:paraId="7F369019">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verificar a manutenção das condições de habilitação exigidas; e</w:t>
      </w:r>
    </w:p>
    <w:p w14:paraId="49BD75F2">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identificar possível razão que impeça a participação em licitação/contratação no âmbito do órgão ou entidade, tais como a proibição de contratar com a Administração ou com o Poder Público, bem como ocorrências impeditivas indiretas.</w:t>
      </w:r>
    </w:p>
    <w:p w14:paraId="7EC35BC7">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5CC32C1">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13F293D">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6.2.9 Persistindo a irregularidade, o Contratante deverá adotar as medidas necessárias à rescisão contratual nos autos do processo administrativo correspondente, assegurada ao Contratado a ampla defesa.</w:t>
      </w:r>
    </w:p>
    <w:p w14:paraId="65EB6B3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6.2.10 Havendo a efetiva execução do objeto, os pagamentos serão realizados normalmente, até que se decida pela rescisão do contrato, caso o Contratado não regularize sua situação junto ao SICAF.</w:t>
      </w:r>
    </w:p>
    <w:p w14:paraId="67E26D75">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Prazo de pagamento:</w:t>
      </w:r>
    </w:p>
    <w:p w14:paraId="2D76A0FD">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nos seguintes prazos, conforme Decreto Municipal nº 2.493/2023:</w:t>
      </w:r>
    </w:p>
    <w:p w14:paraId="4D617A2E">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a) Para contratações cujos valores não ultrapassem o limite de que trata o inciso II do art. 75 da Lei nº 14.133/2021: até o 5º (quinto) dia útil subsequente à data da pré-liquidação da despesa, nos termos do art. 3º, inciso I, do referido Decreto;</w:t>
      </w:r>
    </w:p>
    <w:p w14:paraId="3BCF16AC">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b) Para os demais casos: até 30 (trinta) dias contados do recebimento definitivo/atesto da nota fiscal ou fatura, nos termos do art. 3º, inciso III, do referido Decreto.</w:t>
      </w:r>
    </w:p>
    <w:p w14:paraId="7A7B737D">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 </w:t>
      </w:r>
      <w:r>
        <w:rPr>
          <w:rFonts w:hint="default" w:ascii="Arial" w:hAnsi="Arial" w:cs="Arial" w:eastAsiaTheme="majorEastAsia"/>
          <w:b w:val="0"/>
          <w:bCs w:val="0"/>
          <w:u w:val="single"/>
          <w:lang w:val="en-US" w:eastAsia="pt-BR"/>
        </w:rPr>
        <w:t>Forma de pagamento:</w:t>
      </w:r>
    </w:p>
    <w:p w14:paraId="3501BEEE">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6.4.1 O pagamento será realizado por meio de ordem bancária, para crédito em banco, agência e conta-corrente indicados pelo Contratado.</w:t>
      </w:r>
    </w:p>
    <w:p w14:paraId="31241FF8">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Será considerada data do pagamento o dia em que constar como emitida a ordem bancária para pagamento.</w:t>
      </w:r>
    </w:p>
    <w:p w14:paraId="42DCE7F3">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6.4.3 Quando do pagamento, será efetuada a retenção tributária prevista na legislação aplicável.</w:t>
      </w:r>
    </w:p>
    <w:p w14:paraId="1BCB9598">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6.4.4 Independentemente do percentual de tributo inserido na planilha, quando houver, serão retidos na fonte, quando da realização do pagamento, os percentuais estabelecidos na legislação vigente.</w:t>
      </w:r>
    </w:p>
    <w:p w14:paraId="0665278E">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6.4.5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B93708">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6.4.6 Na hipótese de o documento de cobrança apresentar erros, fica suspenso o prazo para o pagamento respectivo, prosseguindo-se a contagem somente após a apresentação da nova documentação isenta de erros.</w:t>
      </w:r>
    </w:p>
    <w:p w14:paraId="17D61B94">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6.4.7 Consoante o art. 45 da Lei nº 9.784/1999,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E6BF7A1">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6.5 </w:t>
      </w:r>
      <w:r>
        <w:rPr>
          <w:rFonts w:hint="default" w:ascii="Arial" w:hAnsi="Arial" w:cs="Arial" w:eastAsiaTheme="majorEastAsia"/>
          <w:b w:val="0"/>
          <w:bCs w:val="0"/>
          <w:u w:val="single"/>
          <w:lang w:val="en-US" w:eastAsia="pt-BR"/>
        </w:rPr>
        <w:t>Reajuste:</w:t>
      </w:r>
    </w:p>
    <w:p w14:paraId="71756A36">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6.5.1 Os preços inicialmente contratados são fixos e irreajustáveis no prazo de um ano contado da data do orçamento estimado, em 13 de maio de 2025</w:t>
      </w:r>
    </w:p>
    <w:p w14:paraId="4F98CC1D">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6.5.2 Após o interregno de um ano, e independentemente de pedido do Contratado, os preços iniciais serão reajustados mediante a aplicação do índice IPCA (Índice Nacional de Preços ao Consumidor Amplo), exclusivamente para as obrigações iniciadas e concluídas após a ocorrência da anualidade, observadas as seguintes condições:</w:t>
      </w:r>
    </w:p>
    <w:p w14:paraId="399D8BB0">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6.5.3 A concessão do reajuste fica condicionada à expressa solicitação do Contratado, que deverá ser apresentada antes da celebração de qualquer aditivo de prorrogação de vigência contratual, acompanhada da documentação comprobatória da variação do índice no período.</w:t>
      </w:r>
    </w:p>
    <w:p w14:paraId="306085E4">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6.5.4 A ausência de solicitação de reajuste pelo Contratado antes da formalização do aditamento, sem ressalva de sua superveniente análise, será considerada como renúncia ou preclusão lógica do direito ao reajuste do período correspondente.</w:t>
      </w:r>
    </w:p>
    <w:p w14:paraId="10749E22">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6.5.5 Nos reajustes subsequentes ao primeiro, o interregno mínimo de um ano será contado a partir dos efeitos financeiros do último reajuste.</w:t>
      </w:r>
    </w:p>
    <w:p w14:paraId="2330C686">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6.5.6 No caso de atraso ou não divulgação do índice de reajustamento, o Contratante pagará ao Contratado a importância calculada pela última variação conhecida, liquidando a diferença correspondente tão logo seja divulgado o índice definitivo.</w:t>
      </w:r>
    </w:p>
    <w:p w14:paraId="6147799A">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6.5.7 Caso o índice estabelecido para reajustamento venha a ser extinto ou de qualquer forma não possa mais ser utilizado, será adotado, em substituição, o que vier a ser determinado pela legislação então em vigor. Na ausência de previsão legal quanto ao índice substituto, as partes elegerão novo índice oficial por meio de termo aditivo.</w:t>
      </w:r>
    </w:p>
    <w:p w14:paraId="2F12791B">
      <w:pPr>
        <w:pStyle w:val="20"/>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6.5.8 O reajuste será realizado por apostilamento.</w:t>
      </w:r>
    </w:p>
    <w:p w14:paraId="74D6E903">
      <w:pPr>
        <w:pStyle w:val="20"/>
        <w:tabs>
          <w:tab w:val="left" w:pos="284"/>
        </w:tabs>
        <w:spacing w:line="276" w:lineRule="auto"/>
        <w:ind w:left="0"/>
        <w:jc w:val="both"/>
        <w:rPr>
          <w:rFonts w:hint="default" w:ascii="Arial" w:hAnsi="Arial" w:cs="Arial" w:eastAsiaTheme="majorEastAsia"/>
          <w:b/>
          <w:bCs/>
          <w:lang w:val="en-US" w:eastAsia="pt-BR"/>
        </w:rPr>
      </w:pPr>
    </w:p>
    <w:p w14:paraId="30E80909">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414EF16D">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20B2125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7A42C757">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716801B2">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EFB7A2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582801E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2ABAF836">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237DE6F9">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6B23C047">
      <w:pPr>
        <w:widowControl/>
        <w:tabs>
          <w:tab w:val="left" w:pos="426"/>
        </w:tabs>
        <w:autoSpaceDE/>
        <w:autoSpaceDN/>
        <w:spacing w:before="120" w:after="120" w:line="276" w:lineRule="auto"/>
        <w:jc w:val="both"/>
        <w:rPr>
          <w:rFonts w:ascii="Arial" w:hAnsi="Arial" w:cs="Arial"/>
          <w:bCs/>
          <w:i/>
          <w:color w:val="FF0000"/>
        </w:rPr>
      </w:pPr>
    </w:p>
    <w:p w14:paraId="05C4E36D">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038FCFE">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521DCC8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46B4FDF3">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12F474D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F92C9E9">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94A1951">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7D7B4169">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22448D1E">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38AC95A6">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12E402F">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1BA3674A">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6E87AA27">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F8B87B">
      <w:pPr>
        <w:pStyle w:val="20"/>
        <w:widowControl/>
        <w:tabs>
          <w:tab w:val="left" w:pos="426"/>
        </w:tabs>
        <w:autoSpaceDE/>
        <w:autoSpaceDN/>
        <w:spacing w:before="120" w:after="120" w:line="276" w:lineRule="auto"/>
        <w:ind w:left="862"/>
        <w:jc w:val="both"/>
        <w:rPr>
          <w:rFonts w:ascii="Arial" w:hAnsi="Arial" w:cs="Arial"/>
          <w:bCs/>
          <w:iCs/>
          <w:lang w:val="pt-BR"/>
        </w:rPr>
      </w:pPr>
    </w:p>
    <w:p w14:paraId="50ACFA8D">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0D536A07">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494B31ED">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9278CB2">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0"/>
          <w:rFonts w:ascii="Arial" w:hAnsi="Arial" w:cs="Arial"/>
        </w:rPr>
        <w:t>Lei nº 8.078, de 1990</w:t>
      </w:r>
      <w:r>
        <w:rPr>
          <w:rStyle w:val="10"/>
          <w:rFonts w:ascii="Arial" w:hAnsi="Arial" w:cs="Arial"/>
        </w:rPr>
        <w:fldChar w:fldCharType="end"/>
      </w:r>
      <w:r>
        <w:rPr>
          <w:rFonts w:ascii="Arial" w:hAnsi="Arial" w:cs="Arial"/>
        </w:rPr>
        <w:t>);</w:t>
      </w:r>
    </w:p>
    <w:p w14:paraId="1BB1DC9F">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ao contratante, no prazo máximo de </w:t>
      </w:r>
      <w:r>
        <w:rPr>
          <w:rFonts w:hint="default" w:ascii="Arial" w:hAnsi="Arial" w:cs="Arial"/>
          <w:bCs/>
          <w:iCs/>
          <w:lang w:val="pt-BR"/>
        </w:rPr>
        <w:t>05 (cinco) dias úteis que antecedem</w:t>
      </w:r>
      <w:r>
        <w:rPr>
          <w:rFonts w:ascii="Arial" w:hAnsi="Arial" w:cs="Arial"/>
          <w:bCs/>
          <w:iCs/>
          <w:lang w:val="pt-BR"/>
        </w:rPr>
        <w:t xml:space="preserve"> a data da entrega, os motivos que impossibilitem o cumprimento do prazo previsto, com a devida comprovação</w:t>
      </w:r>
      <w:r>
        <w:rPr>
          <w:rFonts w:hint="default" w:ascii="Arial" w:hAnsi="Arial" w:cs="Arial"/>
          <w:bCs/>
          <w:iCs/>
          <w:lang w:val="pt-BR"/>
        </w:rPr>
        <w:t>;</w:t>
      </w:r>
    </w:p>
    <w:p w14:paraId="2A5F9658">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0"/>
          <w:rFonts w:ascii="Arial" w:hAnsi="Arial" w:cs="Arial"/>
        </w:rPr>
        <w:t>art. 137, II, da Lei n.º 14.133, de 2021</w:t>
      </w:r>
      <w:r>
        <w:rPr>
          <w:rStyle w:val="10"/>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659C420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58256C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DF32110">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C173793">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5487D804">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6CB3AF5C">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1ED1A9E7">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2FF5D7F5">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0"/>
          <w:sz w:val="22"/>
          <w:szCs w:val="22"/>
        </w:rPr>
        <w:t>art. 116, da Lei n.º 14.133, de 2021</w:t>
      </w:r>
      <w:r>
        <w:rPr>
          <w:rStyle w:val="10"/>
          <w:sz w:val="22"/>
          <w:szCs w:val="22"/>
        </w:rPr>
        <w:fldChar w:fldCharType="end"/>
      </w:r>
      <w:r>
        <w:rPr>
          <w:sz w:val="22"/>
          <w:szCs w:val="22"/>
        </w:rPr>
        <w:t>);</w:t>
      </w:r>
    </w:p>
    <w:p w14:paraId="3D6B671C">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0"/>
          <w:sz w:val="22"/>
          <w:szCs w:val="22"/>
        </w:rPr>
        <w:t>art. 116, parágrafo único, da Lei n.º 14.133, de 2021</w:t>
      </w:r>
      <w:r>
        <w:rPr>
          <w:rStyle w:val="10"/>
          <w:sz w:val="22"/>
          <w:szCs w:val="22"/>
        </w:rPr>
        <w:fldChar w:fldCharType="end"/>
      </w:r>
      <w:r>
        <w:rPr>
          <w:sz w:val="22"/>
          <w:szCs w:val="22"/>
        </w:rPr>
        <w:t>);</w:t>
      </w:r>
    </w:p>
    <w:p w14:paraId="22D5C669">
      <w:pPr>
        <w:pStyle w:val="46"/>
        <w:numPr>
          <w:ilvl w:val="1"/>
          <w:numId w:val="3"/>
        </w:numPr>
        <w:rPr>
          <w:sz w:val="22"/>
          <w:szCs w:val="22"/>
        </w:rPr>
      </w:pPr>
      <w:r>
        <w:rPr>
          <w:sz w:val="22"/>
          <w:szCs w:val="22"/>
        </w:rPr>
        <w:t xml:space="preserve">Guardar sigilo sobre todas as informações obtidas em decorrência do cumprimento do contrato; </w:t>
      </w:r>
    </w:p>
    <w:p w14:paraId="0A6C4679">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0"/>
          <w:sz w:val="22"/>
          <w:szCs w:val="22"/>
        </w:rPr>
        <w:t>art. 124, II, d, da Lei nº 14.133, de 2021.</w:t>
      </w:r>
      <w:r>
        <w:rPr>
          <w:rStyle w:val="10"/>
          <w:sz w:val="22"/>
          <w:szCs w:val="22"/>
        </w:rPr>
        <w:fldChar w:fldCharType="end"/>
      </w:r>
    </w:p>
    <w:p w14:paraId="2DB4F7B3">
      <w:pPr>
        <w:pStyle w:val="46"/>
        <w:numPr>
          <w:ilvl w:val="1"/>
          <w:numId w:val="3"/>
        </w:numPr>
        <w:rPr>
          <w:sz w:val="22"/>
          <w:szCs w:val="22"/>
        </w:rPr>
      </w:pPr>
      <w:r>
        <w:rPr>
          <w:sz w:val="22"/>
          <w:szCs w:val="22"/>
        </w:rPr>
        <w:t>Cumprir, além dos postulados legais vigentes de âmbito federal, estadual ou municipal, as normas de segurança do contratante.</w:t>
      </w:r>
    </w:p>
    <w:p w14:paraId="10E41232">
      <w:pPr>
        <w:pStyle w:val="20"/>
        <w:tabs>
          <w:tab w:val="left" w:pos="284"/>
        </w:tabs>
        <w:spacing w:line="276" w:lineRule="auto"/>
        <w:ind w:left="0"/>
        <w:rPr>
          <w:rFonts w:ascii="Arial" w:hAnsi="Arial" w:cs="Arial" w:eastAsiaTheme="majorEastAsia"/>
          <w:b/>
          <w:bCs/>
          <w:lang w:val="pt-BR" w:eastAsia="pt-BR"/>
        </w:rPr>
      </w:pPr>
    </w:p>
    <w:p w14:paraId="67DE2645">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19B2296A">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1917F8E1">
      <w:pPr>
        <w:pStyle w:val="20"/>
        <w:widowControl/>
        <w:numPr>
          <w:ilvl w:val="0"/>
          <w:numId w:val="0"/>
        </w:numPr>
        <w:tabs>
          <w:tab w:val="left" w:pos="426"/>
        </w:tabs>
        <w:autoSpaceDE/>
        <w:autoSpaceDN/>
        <w:spacing w:before="120" w:after="120" w:line="276" w:lineRule="auto"/>
        <w:ind w:leftChars="0"/>
        <w:jc w:val="both"/>
        <w:rPr>
          <w:rFonts w:ascii="Arial" w:hAnsi="Arial" w:cs="Arial"/>
          <w:bCs/>
          <w:iCs/>
          <w:lang w:val="pt-BR"/>
        </w:rPr>
      </w:pPr>
    </w:p>
    <w:p w14:paraId="1EA67983">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E9FAC9D">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5942F41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7C194A9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729ED20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12FFEB8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605B23A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ED501F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096E2AA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4048F52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14:paraId="4F902EDB">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755A3220">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3" w:name="_Hlk114504069"/>
      <w:r>
        <w:rPr>
          <w:rStyle w:val="10"/>
          <w:rFonts w:ascii="Arial" w:hAnsi="Arial" w:eastAsia="Arial" w:cs="Arial"/>
        </w:rPr>
        <w:t>Lei nº 14.133, de 2021</w:t>
      </w:r>
      <w:bookmarkEnd w:id="3"/>
      <w:r>
        <w:rPr>
          <w:rStyle w:val="10"/>
          <w:rFonts w:ascii="Arial" w:hAnsi="Arial" w:eastAsia="Arial" w:cs="Arial"/>
        </w:rPr>
        <w:fldChar w:fldCharType="end"/>
      </w:r>
      <w:r>
        <w:rPr>
          <w:rFonts w:ascii="Arial" w:hAnsi="Arial" w:eastAsia="Arial" w:cs="Arial"/>
        </w:rPr>
        <w:t>);</w:t>
      </w:r>
    </w:p>
    <w:p w14:paraId="60B580B5">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14:paraId="39DC83EC">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14:paraId="0698AE12">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20E58FC2">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xml:space="preserve">) por dia de atraso injustificado sobre o valor da parcela inadimplida, até o limite de </w:t>
      </w:r>
      <w:r>
        <w:rPr>
          <w:rFonts w:hint="default" w:ascii="Arial" w:hAnsi="Arial" w:eastAsia="Arial" w:cs="Arial"/>
          <w:lang w:val="pt-BR"/>
        </w:rPr>
        <w:t>3</w:t>
      </w:r>
      <w:r>
        <w:rPr>
          <w:rFonts w:ascii="Arial" w:hAnsi="Arial" w:eastAsia="Arial" w:cs="Arial"/>
        </w:rPr>
        <w:t>0 (</w:t>
      </w:r>
      <w:r>
        <w:rPr>
          <w:rFonts w:hint="default" w:ascii="Arial" w:hAnsi="Arial" w:eastAsia="Arial" w:cs="Arial"/>
          <w:lang w:val="pt-BR"/>
        </w:rPr>
        <w:t>trinta</w:t>
      </w:r>
      <w:r>
        <w:rPr>
          <w:rFonts w:ascii="Arial" w:hAnsi="Arial" w:eastAsia="Arial" w:cs="Arial"/>
        </w:rPr>
        <w:t>) dias;</w:t>
      </w:r>
    </w:p>
    <w:p w14:paraId="1B742E6E">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40749A55">
      <w:pPr>
        <w:pStyle w:val="20"/>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5A3209C3">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05017F6B">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579C6BC5">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730674DA">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197C3664">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5EBF3A33">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14:paraId="78B7BE37">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14:paraId="2341F68D">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14:paraId="494D754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14:paraId="16BAA7DD">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1E5C6B85">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14:paraId="3F7B86C5">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14:paraId="1AE3F06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5CD44C1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348E2ED9">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3386569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42EE02E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035F6355">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14:paraId="0910FF3F">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14:paraId="6580F8AF">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14:paraId="59B4D8E3">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14:paraId="166714B7">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14:paraId="596EEDBF">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XIX</w:t>
      </w:r>
      <w:r>
        <w:rPr>
          <w:rStyle w:val="10"/>
          <w:rFonts w:ascii="Arial" w:hAnsi="Arial" w:cs="Arial"/>
          <w:sz w:val="22"/>
          <w:szCs w:val="22"/>
        </w:rPr>
        <w:fldChar w:fldCharType="end"/>
      </w:r>
      <w:r>
        <w:rPr>
          <w:rFonts w:ascii="Arial" w:hAnsi="Arial" w:cs="Arial"/>
          <w:sz w:val="22"/>
          <w:szCs w:val="22"/>
        </w:rPr>
        <w:t xml:space="preserve">) </w:t>
      </w:r>
    </w:p>
    <w:p w14:paraId="767DF3E4">
      <w:pPr>
        <w:pStyle w:val="20"/>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3C8A6952">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518D1C16">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5D48FC6C">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574D08D2">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2D05133F">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6D8AABB3">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14:paraId="4FBF607C">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46EDCC5C">
      <w:pPr>
        <w:pStyle w:val="20"/>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2361F7B2">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B364382">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4F87AA97">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4DD9C0BC">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5307B538">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14:paraId="093ED935">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060534">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VIII</w:t>
      </w:r>
      <w:r>
        <w:rPr>
          <w:rStyle w:val="10"/>
          <w:rFonts w:ascii="Arial" w:hAnsi="Arial" w:cs="Arial"/>
          <w:sz w:val="22"/>
          <w:szCs w:val="22"/>
        </w:rPr>
        <w:fldChar w:fldCharType="end"/>
      </w:r>
      <w:r>
        <w:rPr>
          <w:rFonts w:ascii="Arial" w:hAnsi="Arial" w:cs="Arial"/>
          <w:sz w:val="22"/>
          <w:szCs w:val="22"/>
        </w:rPr>
        <w:t>)</w:t>
      </w:r>
    </w:p>
    <w:p w14:paraId="51D55D53">
      <w:pPr>
        <w:spacing w:line="276" w:lineRule="auto"/>
        <w:jc w:val="both"/>
        <w:rPr>
          <w:rFonts w:ascii="Arial" w:hAnsi="Arial" w:eastAsia="Verdana" w:cs="Arial"/>
          <w:sz w:val="22"/>
          <w:szCs w:val="22"/>
          <w:lang w:val="pt-PT" w:eastAsia="en-US" w:bidi="ar-SA"/>
        </w:rPr>
      </w:pPr>
      <w:r>
        <w:rPr>
          <w:rFonts w:hint="default" w:ascii="Arial" w:hAnsi="Arial" w:cs="Arial"/>
          <w:b w:val="0"/>
          <w:bCs w:val="0"/>
          <w:sz w:val="22"/>
          <w:szCs w:val="22"/>
          <w:lang w:val="pt-BR"/>
        </w:rPr>
        <w:t xml:space="preserve">13.1 </w:t>
      </w:r>
      <w:r>
        <w:rPr>
          <w:b/>
          <w:bCs/>
        </w:rPr>
        <w:t xml:space="preserve"> </w:t>
      </w:r>
      <w:r>
        <w:rPr>
          <w:rFonts w:ascii="Arial" w:hAnsi="Arial" w:eastAsia="Verdana" w:cs="Arial"/>
          <w:sz w:val="22"/>
          <w:szCs w:val="22"/>
          <w:lang w:val="pt-PT" w:eastAsia="en-US" w:bidi="ar-SA"/>
        </w:rPr>
        <w:t>As despesas decorrentes da presente contratação correrão à conta de recursos específicos consignados no Orçamento do Município de Nova Friburgo/RJ, na forma abaixo:</w:t>
      </w:r>
    </w:p>
    <w:p w14:paraId="2D9B916C">
      <w:pPr>
        <w:spacing w:before="80" w:after="0" w:line="276" w:lineRule="auto"/>
        <w:rPr>
          <w:rFonts w:ascii="Arial" w:hAnsi="Arial" w:eastAsia="Verdana" w:cs="Arial"/>
          <w:sz w:val="22"/>
          <w:szCs w:val="22"/>
          <w:lang w:val="pt-PT" w:eastAsia="en-US" w:bidi="ar-SA"/>
        </w:rPr>
      </w:pPr>
    </w:p>
    <w:tbl>
      <w:tblPr>
        <w:tblStyle w:val="7"/>
        <w:tblW w:w="9071" w:type="dxa"/>
        <w:tblInd w:w="0" w:type="dxa"/>
        <w:tblLayout w:type="fixed"/>
        <w:tblCellMar>
          <w:top w:w="60" w:type="dxa"/>
          <w:left w:w="100" w:type="dxa"/>
          <w:bottom w:w="60" w:type="dxa"/>
          <w:right w:w="100" w:type="dxa"/>
        </w:tblCellMar>
      </w:tblPr>
      <w:tblGrid>
        <w:gridCol w:w="2267"/>
        <w:gridCol w:w="3160"/>
        <w:gridCol w:w="1528"/>
        <w:gridCol w:w="2116"/>
      </w:tblGrid>
      <w:tr w14:paraId="68726A82">
        <w:trPr>
          <w:tblHeader/>
        </w:trPr>
        <w:tc>
          <w:tcPr>
            <w:tcW w:w="2267" w:type="dxa"/>
            <w:tcBorders>
              <w:top w:val="single" w:color="BDBDBD" w:sz="4" w:space="0"/>
              <w:left w:val="single" w:color="BDBDBD" w:sz="4" w:space="0"/>
              <w:bottom w:val="single" w:color="BDBDBD" w:sz="4" w:space="0"/>
              <w:right w:val="single" w:color="BDBDBD" w:sz="4" w:space="0"/>
            </w:tcBorders>
            <w:shd w:val="clear" w:color="auto" w:fill="1F3864"/>
            <w:vAlign w:val="center"/>
          </w:tcPr>
          <w:p w14:paraId="242B637D">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Órgão/Unidade</w:t>
            </w:r>
          </w:p>
        </w:tc>
        <w:tc>
          <w:tcPr>
            <w:tcW w:w="3160" w:type="dxa"/>
            <w:tcBorders>
              <w:top w:val="single" w:color="BDBDBD" w:sz="4" w:space="0"/>
              <w:left w:val="single" w:color="BDBDBD" w:sz="4" w:space="0"/>
              <w:bottom w:val="single" w:color="BDBDBD" w:sz="4" w:space="0"/>
              <w:right w:val="single" w:color="BDBDBD" w:sz="4" w:space="0"/>
            </w:tcBorders>
            <w:shd w:val="clear" w:color="auto" w:fill="1F3864"/>
            <w:vAlign w:val="center"/>
          </w:tcPr>
          <w:p w14:paraId="7D702B06">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 Trabalho</w:t>
            </w:r>
          </w:p>
        </w:tc>
        <w:tc>
          <w:tcPr>
            <w:tcW w:w="1528" w:type="dxa"/>
            <w:tcBorders>
              <w:top w:val="single" w:color="BDBDBD" w:sz="4" w:space="0"/>
              <w:left w:val="single" w:color="BDBDBD" w:sz="4" w:space="0"/>
              <w:bottom w:val="single" w:color="BDBDBD" w:sz="4" w:space="0"/>
              <w:right w:val="single" w:color="BDBDBD" w:sz="4" w:space="0"/>
            </w:tcBorders>
            <w:shd w:val="clear" w:color="auto" w:fill="1F3864"/>
            <w:vAlign w:val="center"/>
          </w:tcPr>
          <w:p w14:paraId="66F4DEEA">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 Recursos</w:t>
            </w:r>
          </w:p>
        </w:tc>
        <w:tc>
          <w:tcPr>
            <w:tcW w:w="2116" w:type="dxa"/>
            <w:tcBorders>
              <w:top w:val="single" w:color="BDBDBD" w:sz="4" w:space="0"/>
              <w:left w:val="single" w:color="BDBDBD" w:sz="4" w:space="0"/>
              <w:bottom w:val="single" w:color="BDBDBD" w:sz="4" w:space="0"/>
              <w:right w:val="single" w:color="BDBDBD" w:sz="4" w:space="0"/>
            </w:tcBorders>
            <w:shd w:val="clear" w:color="auto" w:fill="1F3864"/>
            <w:vAlign w:val="center"/>
          </w:tcPr>
          <w:p w14:paraId="3414CECF">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Elemento de Despesa</w:t>
            </w:r>
          </w:p>
        </w:tc>
      </w:tr>
      <w:tr w14:paraId="32B4EB3A">
        <w:tblPrEx>
          <w:tblCellMar>
            <w:top w:w="60" w:type="dxa"/>
            <w:left w:w="100" w:type="dxa"/>
            <w:bottom w:w="60" w:type="dxa"/>
            <w:right w:w="100" w:type="dxa"/>
          </w:tblCellMar>
        </w:tblPrEx>
        <w:tc>
          <w:tcPr>
            <w:tcW w:w="2267" w:type="dxa"/>
            <w:tcBorders>
              <w:top w:val="single" w:color="BDBDBD" w:sz="4" w:space="0"/>
              <w:left w:val="single" w:color="BDBDBD" w:sz="4" w:space="0"/>
              <w:bottom w:val="single" w:color="BDBDBD" w:sz="4" w:space="0"/>
              <w:right w:val="single" w:color="BDBDBD" w:sz="4" w:space="0"/>
            </w:tcBorders>
            <w:vAlign w:val="center"/>
          </w:tcPr>
          <w:p w14:paraId="3AF445A7">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3160" w:type="dxa"/>
            <w:tcBorders>
              <w:top w:val="single" w:color="BDBDBD" w:sz="4" w:space="0"/>
              <w:left w:val="single" w:color="BDBDBD" w:sz="4" w:space="0"/>
              <w:bottom w:val="single" w:color="BDBDBD" w:sz="4" w:space="0"/>
              <w:right w:val="single" w:color="BDBDBD" w:sz="4" w:space="0"/>
            </w:tcBorders>
            <w:vAlign w:val="center"/>
          </w:tcPr>
          <w:p w14:paraId="07FA402A">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1528" w:type="dxa"/>
            <w:tcBorders>
              <w:top w:val="single" w:color="BDBDBD" w:sz="4" w:space="0"/>
              <w:left w:val="single" w:color="BDBDBD" w:sz="4" w:space="0"/>
              <w:bottom w:val="single" w:color="BDBDBD" w:sz="4" w:space="0"/>
              <w:right w:val="single" w:color="BDBDBD" w:sz="4" w:space="0"/>
            </w:tcBorders>
            <w:vAlign w:val="center"/>
          </w:tcPr>
          <w:p w14:paraId="17883EAB">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2116" w:type="dxa"/>
            <w:vMerge w:val="restart"/>
            <w:tcBorders>
              <w:top w:val="single" w:color="BDBDBD" w:sz="4" w:space="0"/>
              <w:left w:val="single" w:color="BDBDBD" w:sz="4" w:space="0"/>
              <w:bottom w:val="single" w:color="BDBDBD" w:sz="4" w:space="0"/>
              <w:right w:val="single" w:color="BDBDBD" w:sz="4" w:space="0"/>
            </w:tcBorders>
            <w:vAlign w:val="center"/>
          </w:tcPr>
          <w:p w14:paraId="6484DC4B">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3.3.90.30.36</w:t>
            </w:r>
          </w:p>
        </w:tc>
      </w:tr>
      <w:tr w14:paraId="7C0D2A32">
        <w:tblPrEx>
          <w:tblCellMar>
            <w:top w:w="60" w:type="dxa"/>
            <w:left w:w="100" w:type="dxa"/>
            <w:bottom w:w="60" w:type="dxa"/>
            <w:right w:w="100" w:type="dxa"/>
          </w:tblCellMar>
        </w:tblPrEx>
        <w:tc>
          <w:tcPr>
            <w:tcW w:w="2267" w:type="dxa"/>
            <w:tcBorders>
              <w:top w:val="single" w:color="BDBDBD" w:sz="4" w:space="0"/>
              <w:left w:val="single" w:color="BDBDBD" w:sz="4" w:space="0"/>
              <w:bottom w:val="single" w:color="BDBDBD" w:sz="4" w:space="0"/>
              <w:right w:val="single" w:color="BDBDBD" w:sz="4" w:space="0"/>
            </w:tcBorders>
            <w:vAlign w:val="center"/>
          </w:tcPr>
          <w:p w14:paraId="135CB309">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Maternidade Dr. Mário Dutra de Castro</w:t>
            </w:r>
          </w:p>
        </w:tc>
        <w:tc>
          <w:tcPr>
            <w:tcW w:w="3160" w:type="dxa"/>
            <w:tcBorders>
              <w:top w:val="single" w:color="BDBDBD" w:sz="4" w:space="0"/>
              <w:left w:val="single" w:color="BDBDBD" w:sz="4" w:space="0"/>
              <w:bottom w:val="single" w:color="BDBDBD" w:sz="4" w:space="0"/>
              <w:right w:val="single" w:color="BDBDBD" w:sz="4" w:space="0"/>
            </w:tcBorders>
            <w:vAlign w:val="center"/>
          </w:tcPr>
          <w:p w14:paraId="4BD17F70">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36001.10.302.1004.2.142</w:t>
            </w:r>
          </w:p>
        </w:tc>
        <w:tc>
          <w:tcPr>
            <w:tcW w:w="1528" w:type="dxa"/>
            <w:tcBorders>
              <w:top w:val="single" w:color="BDBDBD" w:sz="4" w:space="0"/>
              <w:left w:val="single" w:color="BDBDBD" w:sz="4" w:space="0"/>
              <w:bottom w:val="single" w:color="BDBDBD" w:sz="4" w:space="0"/>
              <w:right w:val="single" w:color="BDBDBD" w:sz="4" w:space="0"/>
            </w:tcBorders>
            <w:vAlign w:val="center"/>
          </w:tcPr>
          <w:p w14:paraId="3D20ACDB">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2116" w:type="dxa"/>
            <w:vMerge w:val="continue"/>
            <w:tcBorders>
              <w:top w:val="single" w:color="BDBDBD" w:sz="4" w:space="0"/>
              <w:left w:val="single" w:color="BDBDBD" w:sz="4" w:space="0"/>
              <w:bottom w:val="single" w:color="BDBDBD" w:sz="4" w:space="0"/>
              <w:right w:val="single" w:color="BDBDBD" w:sz="4" w:space="0"/>
            </w:tcBorders>
            <w:vAlign w:val="center"/>
          </w:tcPr>
          <w:p w14:paraId="421E21B7">
            <w:pPr>
              <w:rPr>
                <w:rFonts w:ascii="Arial" w:hAnsi="Arial" w:eastAsia="Verdana" w:cs="Arial"/>
                <w:sz w:val="22"/>
                <w:szCs w:val="22"/>
                <w:lang w:val="pt-PT" w:eastAsia="en-US" w:bidi="ar-SA"/>
              </w:rPr>
            </w:pPr>
          </w:p>
        </w:tc>
      </w:tr>
      <w:tr w14:paraId="4767C8D7">
        <w:tblPrEx>
          <w:tblCellMar>
            <w:top w:w="60" w:type="dxa"/>
            <w:left w:w="100" w:type="dxa"/>
            <w:bottom w:w="60" w:type="dxa"/>
            <w:right w:w="100" w:type="dxa"/>
          </w:tblCellMar>
        </w:tblPrEx>
        <w:tc>
          <w:tcPr>
            <w:tcW w:w="2267" w:type="dxa"/>
            <w:tcBorders>
              <w:left w:val="single" w:color="BDBDBD" w:sz="4" w:space="0"/>
              <w:bottom w:val="single" w:color="BDBDBD" w:sz="4" w:space="0"/>
              <w:right w:val="single" w:color="BDBDBD" w:sz="4" w:space="0"/>
            </w:tcBorders>
            <w:vAlign w:val="center"/>
          </w:tcPr>
          <w:p w14:paraId="3188C269">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Melhor em Casa</w:t>
            </w:r>
          </w:p>
        </w:tc>
        <w:tc>
          <w:tcPr>
            <w:tcW w:w="3160" w:type="dxa"/>
            <w:tcBorders>
              <w:left w:val="single" w:color="BDBDBD" w:sz="4" w:space="0"/>
              <w:bottom w:val="single" w:color="BDBDBD" w:sz="4" w:space="0"/>
              <w:right w:val="single" w:color="BDBDBD" w:sz="4" w:space="0"/>
            </w:tcBorders>
            <w:vAlign w:val="center"/>
          </w:tcPr>
          <w:p w14:paraId="6D0E2DBA">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36001.10.302.1003.2.139</w:t>
            </w:r>
          </w:p>
        </w:tc>
        <w:tc>
          <w:tcPr>
            <w:tcW w:w="1528" w:type="dxa"/>
            <w:tcBorders>
              <w:left w:val="single" w:color="BDBDBD" w:sz="4" w:space="0"/>
              <w:bottom w:val="single" w:color="BDBDBD" w:sz="4" w:space="0"/>
              <w:right w:val="single" w:color="BDBDBD" w:sz="4" w:space="0"/>
            </w:tcBorders>
            <w:vAlign w:val="center"/>
          </w:tcPr>
          <w:p w14:paraId="57A3CF09">
            <w:pPr>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2116" w:type="dxa"/>
            <w:vMerge w:val="continue"/>
            <w:tcBorders>
              <w:top w:val="single" w:color="BDBDBD" w:sz="4" w:space="0"/>
              <w:left w:val="single" w:color="BDBDBD" w:sz="4" w:space="0"/>
              <w:bottom w:val="single" w:color="BDBDBD" w:sz="4" w:space="0"/>
              <w:right w:val="single" w:color="BDBDBD" w:sz="4" w:space="0"/>
            </w:tcBorders>
            <w:vAlign w:val="center"/>
          </w:tcPr>
          <w:p w14:paraId="42760E95">
            <w:pPr>
              <w:rPr>
                <w:rFonts w:ascii="Arial" w:hAnsi="Arial" w:eastAsia="Verdana" w:cs="Arial"/>
                <w:sz w:val="22"/>
                <w:szCs w:val="22"/>
                <w:lang w:val="pt-PT" w:eastAsia="en-US" w:bidi="ar-SA"/>
              </w:rPr>
            </w:pPr>
          </w:p>
        </w:tc>
      </w:tr>
    </w:tbl>
    <w:p w14:paraId="3FC5FC29">
      <w:pPr>
        <w:spacing w:before="80" w:after="0" w:line="276" w:lineRule="auto"/>
        <w:rPr>
          <w:rFonts w:ascii="Arial" w:hAnsi="Arial" w:eastAsia="Verdana" w:cs="Arial"/>
          <w:sz w:val="22"/>
          <w:szCs w:val="22"/>
          <w:lang w:val="pt-PT" w:eastAsia="en-US" w:bidi="ar-SA"/>
        </w:rPr>
      </w:pPr>
    </w:p>
    <w:p w14:paraId="53EB688B">
      <w:pPr>
        <w:spacing w:line="276" w:lineRule="auto"/>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 A dotação relativa aos exercícios financeiros subsequentes será indicada após aprovação da Lei Orçamentária respectiva e liberação dos créditos correspondentes, mediante apostilamento.</w:t>
      </w:r>
    </w:p>
    <w:p w14:paraId="250CA31A">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lang w:val="pt-PT"/>
        </w:rPr>
        <w:t>art. 92, III</w:t>
      </w:r>
      <w:r>
        <w:rPr>
          <w:rStyle w:val="10"/>
          <w:rFonts w:ascii="Arial" w:hAnsi="Arial" w:cs="Arial"/>
          <w:sz w:val="22"/>
          <w:szCs w:val="22"/>
          <w:lang w:val="pt-PT"/>
        </w:rPr>
        <w:fldChar w:fldCharType="end"/>
      </w:r>
      <w:r>
        <w:rPr>
          <w:rFonts w:ascii="Arial" w:hAnsi="Arial" w:cs="Arial"/>
          <w:sz w:val="22"/>
          <w:szCs w:val="22"/>
          <w:lang w:val="pt-PT"/>
        </w:rPr>
        <w:t>)</w:t>
      </w:r>
    </w:p>
    <w:p w14:paraId="670570E0">
      <w:pPr>
        <w:pStyle w:val="20"/>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0"/>
          <w:rFonts w:ascii="Arial" w:hAnsi="Arial" w:cs="Arial"/>
        </w:rPr>
        <w:t>nº 14.133, de 2021</w:t>
      </w:r>
      <w:r>
        <w:rPr>
          <w:rStyle w:val="10"/>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0"/>
          <w:rFonts w:ascii="Arial" w:hAnsi="Arial" w:cs="Arial"/>
        </w:rPr>
        <w:t>Lei nº 8.078, de 1990 – Código de Defesa do Consumidor</w:t>
      </w:r>
      <w:r>
        <w:rPr>
          <w:rStyle w:val="10"/>
          <w:rFonts w:ascii="Arial" w:hAnsi="Arial" w:cs="Arial"/>
        </w:rPr>
        <w:fldChar w:fldCharType="end"/>
      </w:r>
      <w:r>
        <w:rPr>
          <w:rFonts w:ascii="Arial" w:hAnsi="Arial" w:cs="Arial"/>
        </w:rPr>
        <w:t xml:space="preserve"> – e normas e princípios gerais dos contratos.</w:t>
      </w:r>
    </w:p>
    <w:p w14:paraId="0A2C2F23">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4E8AB546">
      <w:pPr>
        <w:pStyle w:val="20"/>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14:paraId="78658E63">
      <w:pPr>
        <w:pStyle w:val="20"/>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2C3FD9F">
      <w:pPr>
        <w:pStyle w:val="20"/>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4C4F81F1">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 xml:space="preserve">. </w:t>
      </w:r>
    </w:p>
    <w:p w14:paraId="7C3D705B">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E563C51">
      <w:pPr>
        <w:pStyle w:val="20"/>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rPr>
        <w:t>art. 94 da Lei 14.133, de 2021</w:t>
      </w:r>
      <w:r>
        <w:rPr>
          <w:rStyle w:val="10"/>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rPr>
        <w:t>art. 8º, §2º, da Lei n. 12.527, de 2011</w:t>
      </w:r>
      <w:r>
        <w:rPr>
          <w:rStyle w:val="10"/>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rPr>
        <w:t>art. 7º, §3º, inciso V, do Decreto n. 7.724, de 2012</w:t>
      </w:r>
      <w:r>
        <w:rPr>
          <w:rStyle w:val="10"/>
          <w:rFonts w:ascii="Arial" w:hAnsi="Arial" w:cs="Arial"/>
        </w:rPr>
        <w:fldChar w:fldCharType="end"/>
      </w:r>
      <w:r>
        <w:rPr>
          <w:rFonts w:ascii="Arial" w:hAnsi="Arial" w:cs="Arial"/>
        </w:rPr>
        <w:t>.</w:t>
      </w:r>
    </w:p>
    <w:p w14:paraId="75EC5E9E">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14:paraId="4C0E015A">
      <w:pPr>
        <w:pStyle w:val="20"/>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BC50339">
      <w:pPr>
        <w:pStyle w:val="20"/>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578F15D7">
      <w:pPr>
        <w:spacing w:before="120" w:after="120" w:line="276" w:lineRule="auto"/>
        <w:jc w:val="both"/>
        <w:rPr>
          <w:rFonts w:ascii="Arial" w:hAnsi="Arial" w:cs="Arial"/>
        </w:rPr>
      </w:pPr>
    </w:p>
    <w:p w14:paraId="3C16B140">
      <w:pPr>
        <w:spacing w:after="120" w:line="360" w:lineRule="auto"/>
        <w:ind w:right="-15"/>
        <w:jc w:val="right"/>
        <w:rPr>
          <w:rFonts w:ascii="Arial" w:hAnsi="Arial" w:cs="Arial"/>
        </w:rPr>
      </w:pPr>
      <w:r>
        <w:rPr>
          <w:rFonts w:ascii="Arial" w:hAnsi="Arial" w:cs="Arial"/>
        </w:rPr>
        <w:t>...........................................,  .......... de.......................................... de 2026.</w:t>
      </w:r>
    </w:p>
    <w:p w14:paraId="46E16C3D">
      <w:pPr>
        <w:spacing w:after="120"/>
        <w:jc w:val="center"/>
        <w:rPr>
          <w:rFonts w:ascii="Arial" w:hAnsi="Arial" w:cs="Arial"/>
          <w:bCs/>
        </w:rPr>
      </w:pPr>
    </w:p>
    <w:p w14:paraId="21A4E90E">
      <w:pPr>
        <w:spacing w:after="120"/>
        <w:jc w:val="center"/>
        <w:rPr>
          <w:rFonts w:ascii="Arial" w:hAnsi="Arial" w:cs="Arial"/>
          <w:bCs/>
        </w:rPr>
      </w:pPr>
      <w:r>
        <w:rPr>
          <w:rFonts w:ascii="Arial" w:hAnsi="Arial" w:cs="Arial"/>
          <w:bCs/>
        </w:rPr>
        <w:t>_________________________</w:t>
      </w:r>
    </w:p>
    <w:p w14:paraId="5CA15A3B">
      <w:pPr>
        <w:spacing w:after="120"/>
        <w:jc w:val="center"/>
        <w:rPr>
          <w:rFonts w:ascii="Arial" w:hAnsi="Arial" w:cs="Arial"/>
          <w:bCs/>
        </w:rPr>
      </w:pPr>
      <w:r>
        <w:rPr>
          <w:rFonts w:ascii="Arial" w:hAnsi="Arial" w:cs="Arial"/>
          <w:bCs/>
        </w:rPr>
        <w:t>Responsável legal da CONTRATANTE</w:t>
      </w:r>
    </w:p>
    <w:p w14:paraId="4C5E20D2">
      <w:pPr>
        <w:spacing w:after="120"/>
        <w:jc w:val="center"/>
        <w:rPr>
          <w:rFonts w:ascii="Arial" w:hAnsi="Arial" w:cs="Arial"/>
        </w:rPr>
      </w:pPr>
    </w:p>
    <w:p w14:paraId="265508BF">
      <w:pPr>
        <w:spacing w:after="120"/>
        <w:jc w:val="center"/>
        <w:rPr>
          <w:rFonts w:ascii="Arial" w:hAnsi="Arial" w:cs="Arial"/>
        </w:rPr>
      </w:pPr>
      <w:r>
        <w:rPr>
          <w:rFonts w:ascii="Arial" w:hAnsi="Arial" w:cs="Arial"/>
        </w:rPr>
        <w:t>_________________________</w:t>
      </w:r>
    </w:p>
    <w:p w14:paraId="46441438">
      <w:pPr>
        <w:spacing w:after="120"/>
        <w:jc w:val="center"/>
        <w:rPr>
          <w:rFonts w:ascii="Arial" w:hAnsi="Arial" w:cs="Arial"/>
        </w:rPr>
      </w:pPr>
      <w:r>
        <w:rPr>
          <w:rFonts w:ascii="Arial" w:hAnsi="Arial" w:cs="Arial"/>
        </w:rPr>
        <w:t>Responsável legal da CONTRATADA</w:t>
      </w:r>
    </w:p>
    <w:p w14:paraId="68A52590">
      <w:pPr>
        <w:spacing w:after="120"/>
        <w:jc w:val="both"/>
        <w:rPr>
          <w:rFonts w:ascii="Arial" w:hAnsi="Arial" w:cs="Arial"/>
        </w:rPr>
      </w:pPr>
    </w:p>
    <w:p w14:paraId="415E64FF">
      <w:pPr>
        <w:spacing w:after="120"/>
        <w:jc w:val="both"/>
        <w:rPr>
          <w:rFonts w:ascii="Arial" w:hAnsi="Arial" w:cs="Arial"/>
        </w:rPr>
      </w:pPr>
      <w:r>
        <w:rPr>
          <w:rFonts w:ascii="Arial" w:hAnsi="Arial" w:cs="Arial"/>
        </w:rPr>
        <w:t>TESTEMUNHAS:</w:t>
      </w:r>
    </w:p>
    <w:p w14:paraId="5A2246A6">
      <w:pPr>
        <w:spacing w:after="120"/>
        <w:jc w:val="both"/>
        <w:rPr>
          <w:rFonts w:ascii="Arial" w:hAnsi="Arial" w:cs="Arial"/>
        </w:rPr>
      </w:pPr>
      <w:r>
        <w:rPr>
          <w:rFonts w:ascii="Arial" w:hAnsi="Arial" w:cs="Arial"/>
        </w:rPr>
        <w:t>1-</w:t>
      </w:r>
    </w:p>
    <w:p w14:paraId="74A52AA2">
      <w:pPr>
        <w:spacing w:after="120"/>
        <w:jc w:val="both"/>
        <w:rPr>
          <w:rFonts w:ascii="Arial" w:hAnsi="Arial" w:cs="Arial"/>
        </w:rPr>
      </w:pPr>
      <w:r>
        <w:rPr>
          <w:rFonts w:ascii="Arial" w:hAnsi="Arial" w:cs="Arial"/>
        </w:rPr>
        <w:t>2-</w:t>
      </w:r>
    </w:p>
    <w:p w14:paraId="5E5377E1">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ADA0">
    <w:pPr>
      <w:pStyle w:val="16"/>
      <w:jc w:val="center"/>
      <w:rPr>
        <w:rFonts w:ascii="Azo Sans Md" w:hAnsi="Azo Sans Md"/>
        <w:b/>
        <w:bCs/>
        <w:color w:val="000000"/>
        <w:sz w:val="18"/>
        <w:szCs w:val="18"/>
      </w:rPr>
    </w:pPr>
  </w:p>
  <w:p w14:paraId="11A0D3E9">
    <w:pPr>
      <w:pStyle w:val="16"/>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29BF56A">
    <w:pPr>
      <w:pStyle w:val="16"/>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0"/>
        <w:rFonts w:ascii="Arial" w:hAnsi="Arial" w:cs="Arial"/>
        <w:sz w:val="18"/>
        <w:szCs w:val="18"/>
      </w:rPr>
      <w:t>pregaoeletronico.friburgo@gmail.com</w:t>
    </w:r>
    <w:r>
      <w:rPr>
        <w:rStyle w:val="10"/>
        <w:rFonts w:ascii="Arial" w:hAnsi="Arial" w:cs="Arial"/>
        <w:sz w:val="18"/>
        <w:szCs w:val="18"/>
      </w:rPr>
      <w:fldChar w:fldCharType="end"/>
    </w:r>
    <w:r>
      <w:rPr>
        <w:rFonts w:ascii="Arial" w:hAnsi="Arial" w:cs="Arial"/>
        <w:color w:val="000000"/>
        <w:sz w:val="18"/>
        <w:szCs w:val="18"/>
      </w:rPr>
      <w:t xml:space="preserve"> – Telefone: (22) 2525-9100 – </w:t>
    </w:r>
  </w:p>
  <w:p w14:paraId="3836430B">
    <w:pPr>
      <w:pStyle w:val="16"/>
      <w:jc w:val="center"/>
      <w:rPr>
        <w:rFonts w:ascii="Arial" w:hAnsi="Arial" w:cs="Arial"/>
        <w:color w:val="000000"/>
        <w:sz w:val="18"/>
        <w:szCs w:val="18"/>
      </w:rPr>
    </w:pPr>
    <w:r>
      <w:rPr>
        <w:rFonts w:ascii="Arial" w:hAnsi="Arial" w:cs="Arial"/>
        <w:color w:val="000000"/>
        <w:sz w:val="18"/>
        <w:szCs w:val="18"/>
      </w:rPr>
      <w:t>(22) 2525-9101</w:t>
    </w:r>
  </w:p>
  <w:p w14:paraId="1733BC70">
    <w:pPr>
      <w:pStyle w:val="16"/>
      <w:jc w:val="center"/>
      <w:rPr>
        <w:rFonts w:ascii="Arial" w:hAnsi="Arial" w:cs="Arial"/>
        <w:color w:val="000000"/>
        <w:sz w:val="18"/>
        <w:szCs w:val="18"/>
      </w:rPr>
    </w:pPr>
  </w:p>
  <w:p w14:paraId="2362A892">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2332">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3DB34">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243A7">
    <w:pPr>
      <w:pStyle w:val="15"/>
      <w:ind w:left="-440" w:leftChars="-200" w:firstLine="14"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7CD63461">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48BCAB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E3A1">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A8A26">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2105CA"/>
    <w:rsid w:val="048B4F37"/>
    <w:rsid w:val="051A3F7F"/>
    <w:rsid w:val="06877454"/>
    <w:rsid w:val="0A401954"/>
    <w:rsid w:val="0F48136F"/>
    <w:rsid w:val="11CC2ACE"/>
    <w:rsid w:val="1AF72D93"/>
    <w:rsid w:val="1B0A7AF4"/>
    <w:rsid w:val="1FD12E07"/>
    <w:rsid w:val="2092565E"/>
    <w:rsid w:val="21F32097"/>
    <w:rsid w:val="2557712D"/>
    <w:rsid w:val="26D85120"/>
    <w:rsid w:val="2B3C2BF1"/>
    <w:rsid w:val="30C50EDE"/>
    <w:rsid w:val="31704C0F"/>
    <w:rsid w:val="33FF2D80"/>
    <w:rsid w:val="39177271"/>
    <w:rsid w:val="39382E6B"/>
    <w:rsid w:val="3C0D69D5"/>
    <w:rsid w:val="3C4D19A5"/>
    <w:rsid w:val="3C9967A2"/>
    <w:rsid w:val="3D361311"/>
    <w:rsid w:val="46B73FAC"/>
    <w:rsid w:val="4A7741B6"/>
    <w:rsid w:val="4C250E67"/>
    <w:rsid w:val="501F24D5"/>
    <w:rsid w:val="53F51D6F"/>
    <w:rsid w:val="56F2226C"/>
    <w:rsid w:val="5C237373"/>
    <w:rsid w:val="623C6820"/>
    <w:rsid w:val="637F1F56"/>
    <w:rsid w:val="65272619"/>
    <w:rsid w:val="655965EF"/>
    <w:rsid w:val="68532C20"/>
    <w:rsid w:val="6C306B39"/>
    <w:rsid w:val="749B1192"/>
    <w:rsid w:val="77B2358A"/>
    <w:rsid w:val="792701B9"/>
    <w:rsid w:val="79653BB3"/>
    <w:rsid w:val="7C9822D5"/>
    <w:rsid w:val="7CDA768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3"/>
    <w:next w:val="1"/>
    <w:qFormat/>
    <w:uiPriority w:val="0"/>
    <w:pPr>
      <w:widowControl/>
      <w:numPr>
        <w:ilvl w:val="0"/>
        <w:numId w:val="0"/>
      </w:numPr>
      <w:suppressAutoHyphens/>
      <w:kinsoku/>
      <w:overflowPunct/>
      <w:autoSpaceDE/>
      <w:bidi w:val="0"/>
      <w:spacing w:before="0" w:after="0"/>
      <w:jc w:val="left"/>
      <w:outlineLvl w:val="2"/>
    </w:pPr>
    <w:rPr>
      <w:rFonts w:ascii="Arial" w:hAnsi="Arial" w:eastAsia="Arial" w:cs="Arial"/>
      <w:color w:val="1F4D78"/>
      <w:kern w:val="0"/>
      <w:sz w:val="24"/>
      <w:szCs w:val="24"/>
      <w:lang w:val="pt-BR" w:eastAsia="pt-BR" w:bidi="ar-SA"/>
    </w:rPr>
  </w:style>
  <w:style w:type="paragraph" w:styleId="5">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annotation reference"/>
    <w:basedOn w:val="6"/>
    <w:unhideWhenUsed/>
    <w:qFormat/>
    <w:uiPriority w:val="0"/>
    <w:rPr>
      <w:sz w:val="16"/>
      <w:szCs w:val="16"/>
    </w:rPr>
  </w:style>
  <w:style w:type="character" w:styleId="9">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0">
    <w:name w:val="Hyperlink"/>
    <w:unhideWhenUsed/>
    <w:qFormat/>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0"/>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qFormat/>
    <w:uiPriority w:val="99"/>
    <w:rPr>
      <w:rFonts w:ascii="Segoe UI" w:hAnsi="Segoe UI" w:cs="Segoe UI"/>
      <w:sz w:val="18"/>
      <w:szCs w:val="18"/>
    </w:rPr>
  </w:style>
  <w:style w:type="table" w:styleId="18">
    <w:name w:val="Table Grid"/>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34"/>
    <w:pPr>
      <w:spacing w:before="121"/>
      <w:ind w:left="301"/>
    </w:pPr>
  </w:style>
  <w:style w:type="paragraph" w:customStyle="1" w:styleId="21">
    <w:name w:val="Table Paragraph"/>
    <w:basedOn w:val="1"/>
    <w:qFormat/>
    <w:uiPriority w:val="1"/>
  </w:style>
  <w:style w:type="character" w:customStyle="1" w:styleId="22">
    <w:name w:val="Cabeçalho Char"/>
    <w:basedOn w:val="6"/>
    <w:link w:val="15"/>
    <w:qFormat/>
    <w:uiPriority w:val="0"/>
    <w:rPr>
      <w:rFonts w:ascii="Verdana" w:hAnsi="Verdana" w:eastAsia="Verdana" w:cs="Verdana"/>
      <w:lang w:val="pt-PT"/>
    </w:rPr>
  </w:style>
  <w:style w:type="character" w:customStyle="1" w:styleId="23">
    <w:name w:val="Rodapé Char"/>
    <w:basedOn w:val="6"/>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6"/>
    <w:link w:val="5"/>
    <w:qFormat/>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6"/>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6"/>
    <w:link w:val="35"/>
    <w:qFormat/>
    <w:uiPriority w:val="0"/>
    <w:rPr>
      <w:rFonts w:ascii="Ecofont_Spranq_eco_Sans" w:hAnsi="Ecofont_Spranq_eco_Sans" w:cs="Times New Roman" w:eastAsiaTheme="majorEastAsia"/>
      <w:b/>
      <w:bCs/>
    </w:rPr>
  </w:style>
  <w:style w:type="character" w:customStyle="1" w:styleId="37">
    <w:name w:val="Texto de balão Char"/>
    <w:basedOn w:val="6"/>
    <w:link w:val="17"/>
    <w:semiHidden/>
    <w:qFormat/>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7"/>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Unresolved Mention"/>
    <w:basedOn w:val="6"/>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6"/>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6"/>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6"/>
    <w:link w:val="53"/>
    <w:qFormat/>
    <w:uiPriority w:val="0"/>
    <w:rPr>
      <w:rFonts w:ascii="Arial" w:hAnsi="Arial" w:cs="Arial"/>
      <w:b/>
      <w:bCs/>
      <w:i/>
      <w:iCs/>
      <w:color w:val="FF0000"/>
      <w:sz w:val="24"/>
      <w:szCs w:val="24"/>
      <w:u w:val="single"/>
    </w:rPr>
  </w:style>
  <w:style w:type="character" w:customStyle="1" w:styleId="55">
    <w:name w:val="Nivel 2 Char"/>
    <w:basedOn w:val="6"/>
    <w:link w:val="46"/>
    <w:qFormat/>
    <w:locked/>
    <w:uiPriority w:val="0"/>
    <w:rPr>
      <w:rFonts w:ascii="Arial" w:hAnsi="Arial" w:cs="Arial" w:eastAsiaTheme="minorEastAsia"/>
      <w:color w:val="000000"/>
    </w:rPr>
  </w:style>
  <w:style w:type="character" w:customStyle="1" w:styleId="56">
    <w:name w:val="Parágrafo da Lista Char"/>
    <w:basedOn w:val="6"/>
    <w:link w:val="20"/>
    <w:qFormat/>
    <w:uiPriority w:val="34"/>
    <w:rPr>
      <w:rFonts w:ascii="Verdana" w:hAnsi="Verdana" w:eastAsia="Verdana" w:cs="Verdana"/>
      <w:sz w:val="22"/>
      <w:szCs w:val="22"/>
      <w:lang w:val="pt-PT" w:eastAsia="en-US"/>
    </w:rPr>
  </w:style>
  <w:style w:type="character" w:customStyle="1" w:styleId="57">
    <w:name w:val="Nivel 3 Char"/>
    <w:basedOn w:val="6"/>
    <w:link w:val="47"/>
    <w:qFormat/>
    <w:uiPriority w:val="0"/>
    <w:rPr>
      <w:rFonts w:ascii="Arial" w:hAnsi="Arial" w:cs="Arial" w:eastAsiaTheme="minorEastAsia"/>
      <w:color w:val="000000"/>
    </w:rPr>
  </w:style>
  <w:style w:type="character" w:customStyle="1" w:styleId="58">
    <w:name w:val="Nivel 01 Char"/>
    <w:basedOn w:val="6"/>
    <w:link w:val="45"/>
    <w:qFormat/>
    <w:uiPriority w:val="0"/>
    <w:rPr>
      <w:rFonts w:ascii="Arial" w:hAnsi="Arial" w:cs="Arial" w:eastAsiaTheme="majorEastAsia"/>
      <w:b/>
      <w:bCs/>
    </w:rPr>
  </w:style>
  <w:style w:type="character" w:customStyle="1" w:styleId="59">
    <w:name w:val="Nível 3-R Char"/>
    <w:basedOn w:val="6"/>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6"/>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23</Pages>
  <Words>5363</Words>
  <Characters>28963</Characters>
  <Lines>241</Lines>
  <Paragraphs>68</Paragraphs>
  <TotalTime>30</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2026-07-21T13:49:52Z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